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C2171" w14:textId="34243BE9" w:rsidR="00995D1C" w:rsidRPr="001D700D" w:rsidRDefault="001D700D" w:rsidP="00DE43DE">
      <w:pPr>
        <w:rPr>
          <w:sz w:val="22"/>
          <w:szCs w:val="22"/>
        </w:rPr>
      </w:pPr>
      <w:bookmarkStart w:id="0" w:name="_GoBack"/>
      <w:bookmarkEnd w:id="0"/>
      <w:r w:rsidRPr="001D700D">
        <w:rPr>
          <w:sz w:val="22"/>
          <w:szCs w:val="22"/>
        </w:rPr>
        <w:t>Z</w:t>
      </w:r>
      <w:r>
        <w:rPr>
          <w:sz w:val="22"/>
          <w:szCs w:val="22"/>
        </w:rPr>
        <w:t>ałącznik</w:t>
      </w:r>
      <w:r w:rsidR="001E24F4">
        <w:rPr>
          <w:sz w:val="22"/>
          <w:szCs w:val="22"/>
        </w:rPr>
        <w:t xml:space="preserve"> </w:t>
      </w:r>
      <w:r>
        <w:rPr>
          <w:sz w:val="22"/>
          <w:szCs w:val="22"/>
        </w:rPr>
        <w:t>B.93</w:t>
      </w:r>
      <w:r w:rsidRPr="001D700D">
        <w:rPr>
          <w:sz w:val="22"/>
          <w:szCs w:val="22"/>
        </w:rPr>
        <w:t>.</w:t>
      </w:r>
    </w:p>
    <w:p w14:paraId="51BBA598" w14:textId="77777777" w:rsidR="001D700D" w:rsidRPr="00037337" w:rsidRDefault="001D700D" w:rsidP="00DE43DE">
      <w:pPr>
        <w:jc w:val="both"/>
        <w:rPr>
          <w:sz w:val="22"/>
          <w:szCs w:val="22"/>
        </w:rPr>
      </w:pPr>
    </w:p>
    <w:p w14:paraId="26CCA53E" w14:textId="6AAEE087" w:rsidR="00FA0019" w:rsidRPr="00D86B37" w:rsidRDefault="00457B75" w:rsidP="00DE43DE">
      <w:pPr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>LECZENIE</w:t>
      </w:r>
      <w:r w:rsidR="001E24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CHORYCH</w:t>
      </w:r>
      <w:r w:rsidR="001E24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NA</w:t>
      </w:r>
      <w:r w:rsidR="001E24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CHŁONIAKI</w:t>
      </w:r>
      <w:r w:rsidR="001E24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ROZLANE</w:t>
      </w:r>
      <w:r w:rsidR="001E24F4">
        <w:rPr>
          <w:b/>
          <w:sz w:val="28"/>
          <w:szCs w:val="28"/>
        </w:rPr>
        <w:t xml:space="preserve"> </w:t>
      </w:r>
      <w:r w:rsidR="00AD37DB">
        <w:rPr>
          <w:b/>
          <w:sz w:val="28"/>
          <w:szCs w:val="28"/>
        </w:rPr>
        <w:t>Z</w:t>
      </w:r>
      <w:r w:rsidR="001E24F4">
        <w:rPr>
          <w:b/>
          <w:sz w:val="28"/>
          <w:szCs w:val="28"/>
        </w:rPr>
        <w:t xml:space="preserve"> </w:t>
      </w:r>
      <w:r w:rsidR="00A655C0">
        <w:rPr>
          <w:b/>
          <w:sz w:val="28"/>
          <w:szCs w:val="28"/>
        </w:rPr>
        <w:t>DUŻYCH</w:t>
      </w:r>
      <w:r w:rsidR="001E24F4">
        <w:rPr>
          <w:b/>
          <w:sz w:val="28"/>
          <w:szCs w:val="28"/>
        </w:rPr>
        <w:t xml:space="preserve"> </w:t>
      </w:r>
      <w:r w:rsidR="00A655C0">
        <w:rPr>
          <w:b/>
          <w:sz w:val="28"/>
          <w:szCs w:val="28"/>
        </w:rPr>
        <w:t>KOMÓREK</w:t>
      </w:r>
      <w:r w:rsidR="001E24F4">
        <w:rPr>
          <w:b/>
          <w:sz w:val="28"/>
          <w:szCs w:val="28"/>
        </w:rPr>
        <w:t xml:space="preserve"> </w:t>
      </w:r>
      <w:r w:rsidR="00A655C0">
        <w:rPr>
          <w:b/>
          <w:sz w:val="28"/>
          <w:szCs w:val="28"/>
        </w:rPr>
        <w:t>B</w:t>
      </w:r>
      <w:r w:rsidR="001E24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ORAZ</w:t>
      </w:r>
      <w:r w:rsidR="001E24F4">
        <w:t xml:space="preserve"> </w:t>
      </w:r>
      <w:r w:rsidRPr="00457B75">
        <w:rPr>
          <w:b/>
          <w:sz w:val="28"/>
          <w:szCs w:val="28"/>
        </w:rPr>
        <w:t>INNE</w:t>
      </w:r>
      <w:r w:rsidR="001E24F4">
        <w:rPr>
          <w:b/>
          <w:sz w:val="28"/>
          <w:szCs w:val="28"/>
        </w:rPr>
        <w:t xml:space="preserve"> </w:t>
      </w:r>
      <w:r w:rsidR="00AD37DB">
        <w:rPr>
          <w:b/>
          <w:sz w:val="28"/>
          <w:szCs w:val="28"/>
        </w:rPr>
        <w:t>CHŁONIAKI</w:t>
      </w:r>
      <w:r w:rsidR="001E24F4">
        <w:rPr>
          <w:b/>
          <w:sz w:val="28"/>
          <w:szCs w:val="28"/>
        </w:rPr>
        <w:t xml:space="preserve"> </w:t>
      </w:r>
      <w:r w:rsidR="00AD37DB">
        <w:rPr>
          <w:b/>
          <w:sz w:val="28"/>
          <w:szCs w:val="28"/>
        </w:rPr>
        <w:t>B-KOMÓRKOWE</w:t>
      </w:r>
      <w:r w:rsidR="001E24F4">
        <w:rPr>
          <w:b/>
          <w:sz w:val="28"/>
          <w:szCs w:val="28"/>
        </w:rPr>
        <w:t xml:space="preserve"> </w:t>
      </w:r>
      <w:r w:rsidR="006F4502" w:rsidRPr="006F4502">
        <w:rPr>
          <w:b/>
          <w:sz w:val="28"/>
          <w:szCs w:val="28"/>
        </w:rPr>
        <w:t>(ICD-10</w:t>
      </w:r>
      <w:r>
        <w:rPr>
          <w:b/>
          <w:sz w:val="28"/>
          <w:szCs w:val="28"/>
        </w:rPr>
        <w:t>:</w:t>
      </w:r>
      <w:r w:rsidR="001E24F4">
        <w:rPr>
          <w:b/>
          <w:sz w:val="28"/>
          <w:szCs w:val="28"/>
        </w:rPr>
        <w:t xml:space="preserve"> </w:t>
      </w:r>
      <w:r w:rsidR="006F4502" w:rsidRPr="006F4502">
        <w:rPr>
          <w:b/>
          <w:sz w:val="28"/>
          <w:szCs w:val="28"/>
        </w:rPr>
        <w:t>C83,</w:t>
      </w:r>
      <w:r w:rsidR="001E24F4">
        <w:rPr>
          <w:b/>
          <w:sz w:val="28"/>
          <w:szCs w:val="28"/>
        </w:rPr>
        <w:t xml:space="preserve"> </w:t>
      </w:r>
      <w:r w:rsidR="006F4502" w:rsidRPr="006F4502">
        <w:rPr>
          <w:b/>
          <w:sz w:val="28"/>
          <w:szCs w:val="28"/>
        </w:rPr>
        <w:t>C85)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1"/>
        <w:gridCol w:w="4113"/>
        <w:gridCol w:w="5608"/>
      </w:tblGrid>
      <w:tr w:rsidR="006F4502" w:rsidRPr="007E3BCE" w14:paraId="66533B9F" w14:textId="77777777" w:rsidTr="00DE43DE">
        <w:trPr>
          <w:trHeight w:val="56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7D13F" w14:textId="4BDFCF49" w:rsidR="006F4502" w:rsidRPr="007E3BCE" w:rsidRDefault="006F4502" w:rsidP="00722A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3BCE">
              <w:rPr>
                <w:b/>
                <w:bCs/>
                <w:sz w:val="20"/>
                <w:szCs w:val="20"/>
              </w:rPr>
              <w:t>ZAKRES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7E3BCE">
              <w:rPr>
                <w:b/>
                <w:bCs/>
                <w:sz w:val="20"/>
                <w:szCs w:val="20"/>
              </w:rPr>
              <w:t>ŚWIADCZENIA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7E3BCE">
              <w:rPr>
                <w:b/>
                <w:bCs/>
                <w:sz w:val="20"/>
                <w:szCs w:val="20"/>
              </w:rPr>
              <w:t>GWARANTOWANEGO</w:t>
            </w:r>
          </w:p>
        </w:tc>
      </w:tr>
      <w:tr w:rsidR="006F4502" w:rsidRPr="007E3BCE" w14:paraId="429C62BD" w14:textId="77777777" w:rsidTr="009F3137">
        <w:trPr>
          <w:trHeight w:val="567"/>
        </w:trPr>
        <w:tc>
          <w:tcPr>
            <w:tcW w:w="1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32585" w14:textId="77777777" w:rsidR="006F4502" w:rsidRPr="007E3BCE" w:rsidRDefault="006F4502" w:rsidP="00722A50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7E3BCE">
              <w:rPr>
                <w:b/>
                <w:bCs/>
                <w:sz w:val="20"/>
                <w:szCs w:val="20"/>
              </w:rPr>
              <w:t>ŚWIADCZENIOBIORCY</w:t>
            </w:r>
          </w:p>
        </w:tc>
        <w:tc>
          <w:tcPr>
            <w:tcW w:w="1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3223A" w14:textId="5F937FDB" w:rsidR="006F4502" w:rsidRPr="007E3BCE" w:rsidRDefault="006F4502" w:rsidP="00722A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3BCE">
              <w:rPr>
                <w:b/>
                <w:bCs/>
                <w:sz w:val="20"/>
                <w:szCs w:val="20"/>
              </w:rPr>
              <w:t>SCHEMAT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7E3BCE">
              <w:rPr>
                <w:b/>
                <w:bCs/>
                <w:sz w:val="20"/>
                <w:szCs w:val="20"/>
              </w:rPr>
              <w:t>DAWKOWANIA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7E3BCE">
              <w:rPr>
                <w:b/>
                <w:bCs/>
                <w:sz w:val="20"/>
                <w:szCs w:val="20"/>
              </w:rPr>
              <w:t>LEKÓW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7E3BCE">
              <w:rPr>
                <w:b/>
                <w:bCs/>
                <w:sz w:val="20"/>
                <w:szCs w:val="20"/>
              </w:rPr>
              <w:t>W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7E3BCE">
              <w:rPr>
                <w:b/>
                <w:bCs/>
                <w:sz w:val="20"/>
                <w:szCs w:val="20"/>
              </w:rPr>
              <w:t>PROGRAMIE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4ECC7" w14:textId="7536533D" w:rsidR="006F4502" w:rsidRPr="007E3BCE" w:rsidRDefault="006F4502" w:rsidP="00722A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3BCE">
              <w:rPr>
                <w:b/>
                <w:bCs/>
                <w:sz w:val="20"/>
                <w:szCs w:val="20"/>
              </w:rPr>
              <w:t>BADANIA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7E3BCE">
              <w:rPr>
                <w:b/>
                <w:bCs/>
                <w:sz w:val="20"/>
                <w:szCs w:val="20"/>
              </w:rPr>
              <w:t>DIAGNOSTYCZNE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7E3BCE">
              <w:rPr>
                <w:b/>
                <w:bCs/>
                <w:sz w:val="20"/>
                <w:szCs w:val="20"/>
              </w:rPr>
              <w:t>WYKONYWANE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7E3BCE">
              <w:rPr>
                <w:b/>
                <w:bCs/>
                <w:sz w:val="20"/>
                <w:szCs w:val="20"/>
              </w:rPr>
              <w:t>W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7E3BCE">
              <w:rPr>
                <w:b/>
                <w:bCs/>
                <w:sz w:val="20"/>
                <w:szCs w:val="20"/>
              </w:rPr>
              <w:t>RAMACH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7E3BCE">
              <w:rPr>
                <w:b/>
                <w:bCs/>
                <w:sz w:val="20"/>
                <w:szCs w:val="20"/>
              </w:rPr>
              <w:t>PROGRAMU</w:t>
            </w:r>
          </w:p>
        </w:tc>
      </w:tr>
      <w:tr w:rsidR="006F4502" w:rsidRPr="007E3BCE" w14:paraId="359070B6" w14:textId="77777777" w:rsidTr="009F3137">
        <w:trPr>
          <w:trHeight w:val="20"/>
        </w:trPr>
        <w:tc>
          <w:tcPr>
            <w:tcW w:w="1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8B88C" w14:textId="4CBA2883" w:rsidR="00477B4C" w:rsidRPr="009F3137" w:rsidRDefault="00477B4C" w:rsidP="001E24F4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9F3137">
              <w:rPr>
                <w:b/>
                <w:bCs/>
                <w:sz w:val="20"/>
                <w:szCs w:val="20"/>
              </w:rPr>
              <w:t>Leczenie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9F3137">
              <w:rPr>
                <w:b/>
                <w:bCs/>
                <w:sz w:val="20"/>
                <w:szCs w:val="20"/>
              </w:rPr>
              <w:t>chorych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9F3137">
              <w:rPr>
                <w:b/>
                <w:bCs/>
                <w:sz w:val="20"/>
                <w:szCs w:val="20"/>
              </w:rPr>
              <w:t>na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9F3137">
              <w:rPr>
                <w:b/>
                <w:bCs/>
                <w:sz w:val="20"/>
                <w:szCs w:val="20"/>
              </w:rPr>
              <w:t>chłoniaki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9F3137">
              <w:rPr>
                <w:b/>
                <w:bCs/>
                <w:sz w:val="20"/>
                <w:szCs w:val="20"/>
              </w:rPr>
              <w:t>złośliwe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9F3137">
              <w:rPr>
                <w:b/>
                <w:bCs/>
                <w:sz w:val="20"/>
                <w:szCs w:val="20"/>
              </w:rPr>
              <w:t>(ICD-10: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9F3137">
              <w:rPr>
                <w:b/>
                <w:bCs/>
                <w:sz w:val="20"/>
                <w:szCs w:val="20"/>
              </w:rPr>
              <w:t>C83,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9F3137">
              <w:rPr>
                <w:b/>
                <w:bCs/>
                <w:sz w:val="20"/>
                <w:szCs w:val="20"/>
              </w:rPr>
              <w:t>C85)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9F3137">
              <w:rPr>
                <w:b/>
                <w:bCs/>
                <w:sz w:val="20"/>
                <w:szCs w:val="20"/>
              </w:rPr>
              <w:t>piksantronem</w:t>
            </w:r>
          </w:p>
          <w:p w14:paraId="0484BB57" w14:textId="4C61F5B4" w:rsidR="006F4502" w:rsidRPr="009F3137" w:rsidRDefault="006F4502" w:rsidP="009F3137">
            <w:pPr>
              <w:pStyle w:val="Akapitzlist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9F3137">
              <w:rPr>
                <w:b/>
                <w:bCs/>
                <w:sz w:val="20"/>
                <w:szCs w:val="20"/>
              </w:rPr>
              <w:t>Kryteria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9F3137">
              <w:rPr>
                <w:b/>
                <w:bCs/>
                <w:sz w:val="20"/>
                <w:szCs w:val="20"/>
              </w:rPr>
              <w:t>kwalifikacji</w:t>
            </w:r>
          </w:p>
          <w:p w14:paraId="7313A170" w14:textId="0A0529D6" w:rsidR="006F4502" w:rsidRPr="009F3137" w:rsidRDefault="006F4502" w:rsidP="009F3137">
            <w:pPr>
              <w:numPr>
                <w:ilvl w:val="3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9F3137">
              <w:rPr>
                <w:sz w:val="20"/>
                <w:szCs w:val="20"/>
              </w:rPr>
              <w:t>potwierdzony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histologicznie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agresywny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chłoniak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nieziarniczy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z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limfocytów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B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(ICD-10</w:t>
            </w:r>
            <w:r w:rsidR="00477B4C" w:rsidRPr="009F3137">
              <w:rPr>
                <w:sz w:val="20"/>
                <w:szCs w:val="20"/>
              </w:rPr>
              <w:t>: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C83,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C85);</w:t>
            </w:r>
          </w:p>
          <w:p w14:paraId="532545AA" w14:textId="73591A67" w:rsidR="006F4502" w:rsidRPr="009F3137" w:rsidRDefault="006F4502" w:rsidP="009F3137">
            <w:pPr>
              <w:numPr>
                <w:ilvl w:val="3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9F3137">
              <w:rPr>
                <w:sz w:val="20"/>
                <w:szCs w:val="20"/>
              </w:rPr>
              <w:t>wiek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≥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18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rok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życia;</w:t>
            </w:r>
          </w:p>
          <w:p w14:paraId="57EE6DE3" w14:textId="4DF767AE" w:rsidR="006F4502" w:rsidRPr="009F3137" w:rsidRDefault="006F4502" w:rsidP="009F3137">
            <w:pPr>
              <w:numPr>
                <w:ilvl w:val="3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9F3137">
              <w:rPr>
                <w:sz w:val="20"/>
                <w:szCs w:val="20"/>
              </w:rPr>
              <w:t>stan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sprawności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według</w:t>
            </w:r>
            <w:r w:rsidR="001E24F4">
              <w:rPr>
                <w:sz w:val="20"/>
                <w:szCs w:val="20"/>
              </w:rPr>
              <w:t xml:space="preserve"> </w:t>
            </w:r>
            <w:r w:rsidR="00755D68" w:rsidRPr="009F3137">
              <w:rPr>
                <w:sz w:val="20"/>
                <w:szCs w:val="20"/>
              </w:rPr>
              <w:t>ECOG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0-2;</w:t>
            </w:r>
          </w:p>
          <w:p w14:paraId="70FA8337" w14:textId="63384E4B" w:rsidR="006F4502" w:rsidRPr="009F3137" w:rsidRDefault="006F4502" w:rsidP="009F3137">
            <w:pPr>
              <w:numPr>
                <w:ilvl w:val="3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9F3137">
              <w:rPr>
                <w:sz w:val="20"/>
                <w:szCs w:val="20"/>
              </w:rPr>
              <w:t>udokumentowane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niepowodzenie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2-giej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3-ciej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linii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chemioterapii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(lek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może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być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zastosowany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tylko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3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4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linii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leczenia);</w:t>
            </w:r>
          </w:p>
          <w:p w14:paraId="7B7E93CE" w14:textId="747F8D9E" w:rsidR="006F4502" w:rsidRPr="009F3137" w:rsidRDefault="006F4502" w:rsidP="009F3137">
            <w:pPr>
              <w:numPr>
                <w:ilvl w:val="3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9F3137">
              <w:rPr>
                <w:sz w:val="20"/>
                <w:szCs w:val="20"/>
              </w:rPr>
              <w:t>LVEF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≥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45%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-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ocena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metodą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ECHO;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niewystępowanie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niewyrównanej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niewydolności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serca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niestabilnego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zespołu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wieńcowego.</w:t>
            </w:r>
          </w:p>
          <w:p w14:paraId="0FBC44F1" w14:textId="1B67AEF0" w:rsidR="006F4502" w:rsidRPr="009F3137" w:rsidRDefault="006F4502" w:rsidP="009F3137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9F3137">
              <w:rPr>
                <w:sz w:val="20"/>
                <w:szCs w:val="20"/>
              </w:rPr>
              <w:t>Kryteria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kwalifikacji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muszą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być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spełnione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łącznie.</w:t>
            </w:r>
          </w:p>
          <w:p w14:paraId="05CB1000" w14:textId="77777777" w:rsidR="006F4502" w:rsidRPr="009F3137" w:rsidRDefault="006F4502" w:rsidP="009F3137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44AD8E8B" w14:textId="674473D5" w:rsidR="006F4502" w:rsidRPr="009F3137" w:rsidRDefault="006F4502" w:rsidP="009F3137">
            <w:pPr>
              <w:pStyle w:val="Akapitzlist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9F3137">
              <w:rPr>
                <w:b/>
                <w:bCs/>
                <w:sz w:val="20"/>
                <w:szCs w:val="20"/>
              </w:rPr>
              <w:t>Określenie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9F3137">
              <w:rPr>
                <w:b/>
                <w:bCs/>
                <w:sz w:val="20"/>
                <w:szCs w:val="20"/>
              </w:rPr>
              <w:t>czasu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9F3137">
              <w:rPr>
                <w:b/>
                <w:bCs/>
                <w:sz w:val="20"/>
                <w:szCs w:val="20"/>
              </w:rPr>
              <w:t>leczenia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9F3137">
              <w:rPr>
                <w:b/>
                <w:bCs/>
                <w:sz w:val="20"/>
                <w:szCs w:val="20"/>
              </w:rPr>
              <w:t>w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9F3137">
              <w:rPr>
                <w:b/>
                <w:bCs/>
                <w:sz w:val="20"/>
                <w:szCs w:val="20"/>
              </w:rPr>
              <w:t>programie</w:t>
            </w:r>
          </w:p>
          <w:p w14:paraId="2BA93168" w14:textId="478325BC" w:rsidR="00477B4C" w:rsidRPr="009F3137" w:rsidRDefault="006F4502" w:rsidP="009F3137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Cs/>
                <w:sz w:val="20"/>
                <w:szCs w:val="20"/>
              </w:rPr>
            </w:pPr>
            <w:r w:rsidRPr="009F3137">
              <w:rPr>
                <w:bCs/>
                <w:sz w:val="20"/>
                <w:szCs w:val="20"/>
              </w:rPr>
              <w:t>Leczenie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piksantronem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kontynuuje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się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do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maksymalnie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6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cykli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z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zastrzeżeniem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pkt.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="00477B4C" w:rsidRPr="009F3137">
              <w:rPr>
                <w:bCs/>
                <w:sz w:val="20"/>
                <w:szCs w:val="20"/>
              </w:rPr>
              <w:t>1.</w:t>
            </w:r>
            <w:r w:rsidRPr="009F3137">
              <w:rPr>
                <w:bCs/>
                <w:sz w:val="20"/>
                <w:szCs w:val="20"/>
              </w:rPr>
              <w:t>4</w:t>
            </w:r>
            <w:r w:rsidR="00477B4C" w:rsidRPr="009F3137">
              <w:rPr>
                <w:bCs/>
                <w:sz w:val="20"/>
                <w:szCs w:val="20"/>
              </w:rPr>
              <w:t>.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(poniżej).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</w:p>
          <w:p w14:paraId="6BD7FE5D" w14:textId="77777777" w:rsidR="00477B4C" w:rsidRPr="009F3137" w:rsidRDefault="00477B4C" w:rsidP="009F3137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756FB27B" w14:textId="30CBC89D" w:rsidR="006F4502" w:rsidRPr="009F3137" w:rsidRDefault="006F4502" w:rsidP="009F3137">
            <w:pPr>
              <w:pStyle w:val="Akapitzlist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Cs/>
                <w:sz w:val="20"/>
                <w:szCs w:val="20"/>
              </w:rPr>
            </w:pPr>
            <w:r w:rsidRPr="009F3137">
              <w:rPr>
                <w:b/>
                <w:bCs/>
                <w:sz w:val="20"/>
                <w:szCs w:val="20"/>
              </w:rPr>
              <w:lastRenderedPageBreak/>
              <w:t>Kryteria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="002E64FA" w:rsidRPr="009F3137">
              <w:rPr>
                <w:b/>
                <w:bCs/>
                <w:sz w:val="20"/>
                <w:szCs w:val="20"/>
              </w:rPr>
              <w:t>stanowiące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="002E64FA" w:rsidRPr="009F3137">
              <w:rPr>
                <w:b/>
                <w:bCs/>
                <w:sz w:val="20"/>
                <w:szCs w:val="20"/>
              </w:rPr>
              <w:t>przeciw</w:t>
            </w:r>
            <w:r w:rsidR="00472439" w:rsidRPr="009F3137">
              <w:rPr>
                <w:b/>
                <w:bCs/>
                <w:sz w:val="20"/>
                <w:szCs w:val="20"/>
              </w:rPr>
              <w:t>w</w:t>
            </w:r>
            <w:r w:rsidR="002E64FA" w:rsidRPr="009F3137">
              <w:rPr>
                <w:b/>
                <w:bCs/>
                <w:sz w:val="20"/>
                <w:szCs w:val="20"/>
              </w:rPr>
              <w:t>skazania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="002E64FA" w:rsidRPr="009F3137">
              <w:rPr>
                <w:b/>
                <w:bCs/>
                <w:sz w:val="20"/>
                <w:szCs w:val="20"/>
              </w:rPr>
              <w:t>do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="002E64FA" w:rsidRPr="009F3137">
              <w:rPr>
                <w:b/>
                <w:bCs/>
                <w:sz w:val="20"/>
                <w:szCs w:val="20"/>
              </w:rPr>
              <w:t>włączenia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="002E64FA" w:rsidRPr="009F3137">
              <w:rPr>
                <w:b/>
                <w:bCs/>
                <w:sz w:val="20"/>
                <w:szCs w:val="20"/>
              </w:rPr>
              <w:t>do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="002E64FA" w:rsidRPr="009F3137">
              <w:rPr>
                <w:b/>
                <w:bCs/>
                <w:sz w:val="20"/>
                <w:szCs w:val="20"/>
              </w:rPr>
              <w:t>programu</w:t>
            </w:r>
          </w:p>
          <w:p w14:paraId="51E6CB27" w14:textId="545383D6" w:rsidR="002E64FA" w:rsidRPr="009F3137" w:rsidRDefault="002E64FA" w:rsidP="009F3137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9F3137">
              <w:rPr>
                <w:sz w:val="20"/>
                <w:szCs w:val="20"/>
              </w:rPr>
              <w:t>Obecne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co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najmniej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jedno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z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poniższych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kryteriów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podczas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kwalifikacji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do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programu:</w:t>
            </w:r>
          </w:p>
          <w:p w14:paraId="591F167D" w14:textId="72F41E76" w:rsidR="006F4502" w:rsidRPr="009F3137" w:rsidRDefault="006F4502" w:rsidP="009F3137">
            <w:pPr>
              <w:numPr>
                <w:ilvl w:val="3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9F3137">
              <w:rPr>
                <w:sz w:val="20"/>
                <w:szCs w:val="20"/>
              </w:rPr>
              <w:t>nadwrażliwość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na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piksantron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na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którąkolwiek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substancję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pomocniczą;</w:t>
            </w:r>
          </w:p>
          <w:p w14:paraId="18AE925A" w14:textId="11899906" w:rsidR="006F4502" w:rsidRPr="009F3137" w:rsidRDefault="006F4502" w:rsidP="009F3137">
            <w:pPr>
              <w:numPr>
                <w:ilvl w:val="3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9F3137">
              <w:rPr>
                <w:sz w:val="20"/>
                <w:szCs w:val="20"/>
              </w:rPr>
              <w:t>bezwzględna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liczba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neutrofilów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&lt;1,0x10</w:t>
            </w:r>
            <w:r w:rsidRPr="009F3137">
              <w:rPr>
                <w:sz w:val="20"/>
                <w:szCs w:val="20"/>
                <w:vertAlign w:val="superscript"/>
              </w:rPr>
              <w:t>9</w:t>
            </w:r>
            <w:r w:rsidRPr="009F3137">
              <w:rPr>
                <w:sz w:val="20"/>
                <w:szCs w:val="20"/>
              </w:rPr>
              <w:t>/l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liczba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płytek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krwi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&lt;75x10</w:t>
            </w:r>
            <w:r w:rsidRPr="009F3137">
              <w:rPr>
                <w:sz w:val="20"/>
                <w:szCs w:val="20"/>
                <w:vertAlign w:val="superscript"/>
              </w:rPr>
              <w:t>9</w:t>
            </w:r>
            <w:r w:rsidRPr="009F3137">
              <w:rPr>
                <w:sz w:val="20"/>
                <w:szCs w:val="20"/>
              </w:rPr>
              <w:t>/l;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o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ile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wynika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to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z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nacieczenia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szpiku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przebiegu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chłoniaka;</w:t>
            </w:r>
          </w:p>
          <w:p w14:paraId="7C315178" w14:textId="3D5C953E" w:rsidR="006F4502" w:rsidRPr="009F3137" w:rsidRDefault="006F4502" w:rsidP="009F3137">
            <w:pPr>
              <w:numPr>
                <w:ilvl w:val="3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9F3137">
              <w:rPr>
                <w:sz w:val="20"/>
                <w:szCs w:val="20"/>
              </w:rPr>
              <w:t>ciąża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karmienie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piersią;</w:t>
            </w:r>
          </w:p>
          <w:p w14:paraId="3932BBDA" w14:textId="488661E6" w:rsidR="003363A8" w:rsidRPr="009F3137" w:rsidRDefault="006F4502" w:rsidP="009F3137">
            <w:pPr>
              <w:numPr>
                <w:ilvl w:val="3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9F3137">
              <w:rPr>
                <w:sz w:val="20"/>
                <w:szCs w:val="20"/>
              </w:rPr>
              <w:t>całkowity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poziom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bilirubiny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≥1,5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x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GGN,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kreatyniny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≥1,5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x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GGN,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AspAT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oraz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ALAT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≥2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x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GGN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(w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przypadku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zajęcia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wątroby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≥5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x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GGN).</w:t>
            </w:r>
          </w:p>
          <w:p w14:paraId="43094CD4" w14:textId="77777777" w:rsidR="003363A8" w:rsidRPr="009F3137" w:rsidRDefault="003363A8" w:rsidP="009F3137">
            <w:pPr>
              <w:autoSpaceDE w:val="0"/>
              <w:autoSpaceDN w:val="0"/>
              <w:adjustRightInd w:val="0"/>
              <w:spacing w:after="60" w:line="276" w:lineRule="auto"/>
              <w:ind w:left="454"/>
              <w:jc w:val="both"/>
              <w:rPr>
                <w:sz w:val="20"/>
                <w:szCs w:val="20"/>
              </w:rPr>
            </w:pPr>
          </w:p>
          <w:p w14:paraId="6ACC597D" w14:textId="26B9DC3F" w:rsidR="006F4502" w:rsidRPr="009F3137" w:rsidRDefault="006F4502" w:rsidP="009F3137">
            <w:pPr>
              <w:pStyle w:val="Akapitzlist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9F3137">
              <w:rPr>
                <w:b/>
                <w:bCs/>
                <w:sz w:val="20"/>
                <w:szCs w:val="20"/>
              </w:rPr>
              <w:t>Kryteria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="002E64FA" w:rsidRPr="009F3137">
              <w:rPr>
                <w:b/>
                <w:bCs/>
                <w:sz w:val="20"/>
                <w:szCs w:val="20"/>
              </w:rPr>
              <w:t>wyłączenia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="002E64FA" w:rsidRPr="009F3137">
              <w:rPr>
                <w:b/>
                <w:bCs/>
                <w:sz w:val="20"/>
                <w:szCs w:val="20"/>
              </w:rPr>
              <w:t>z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="002E64FA" w:rsidRPr="009F3137">
              <w:rPr>
                <w:b/>
                <w:bCs/>
                <w:sz w:val="20"/>
                <w:szCs w:val="20"/>
              </w:rPr>
              <w:t>programu</w:t>
            </w:r>
          </w:p>
          <w:p w14:paraId="3C920D64" w14:textId="049FEEDC" w:rsidR="006F4502" w:rsidRPr="009F3137" w:rsidRDefault="006F4502" w:rsidP="009F3137">
            <w:pPr>
              <w:numPr>
                <w:ilvl w:val="3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9F3137">
              <w:rPr>
                <w:sz w:val="20"/>
                <w:szCs w:val="20"/>
              </w:rPr>
              <w:t>progresja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choroby;</w:t>
            </w:r>
          </w:p>
          <w:p w14:paraId="4A188E45" w14:textId="51B725A9" w:rsidR="006F4502" w:rsidRPr="009F3137" w:rsidRDefault="006F4502" w:rsidP="009F3137">
            <w:pPr>
              <w:numPr>
                <w:ilvl w:val="3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9F3137">
              <w:rPr>
                <w:sz w:val="20"/>
                <w:szCs w:val="20"/>
              </w:rPr>
              <w:t>wystąpienie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objawów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nadwrażliwości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na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piksantron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na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którąkolwiek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substancję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pomocniczą;</w:t>
            </w:r>
          </w:p>
          <w:p w14:paraId="2B16B7D9" w14:textId="3BC1DF84" w:rsidR="006F4502" w:rsidRPr="009F3137" w:rsidRDefault="006F4502" w:rsidP="009F3137">
            <w:pPr>
              <w:numPr>
                <w:ilvl w:val="3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9F3137">
              <w:rPr>
                <w:sz w:val="20"/>
                <w:szCs w:val="20"/>
              </w:rPr>
              <w:t>stan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sprawności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według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WHO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3-4;</w:t>
            </w:r>
          </w:p>
          <w:p w14:paraId="2197BDF3" w14:textId="735E4E78" w:rsidR="006F4502" w:rsidRPr="009F3137" w:rsidRDefault="006F4502" w:rsidP="009F3137">
            <w:pPr>
              <w:numPr>
                <w:ilvl w:val="3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9F3137">
              <w:rPr>
                <w:sz w:val="20"/>
                <w:szCs w:val="20"/>
              </w:rPr>
              <w:t>kardiotoksyczność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3.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4.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stopnia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wg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NYHA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utrzymujący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się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spadek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LVEF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≥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15%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stosunku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do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stanu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wyjściowego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ustępujące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pomimo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odroczenia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leczenia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o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28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dni;</w:t>
            </w:r>
          </w:p>
          <w:p w14:paraId="555EDD01" w14:textId="62BEC513" w:rsidR="006F4502" w:rsidRPr="009F3137" w:rsidRDefault="006F4502" w:rsidP="009F3137">
            <w:pPr>
              <w:numPr>
                <w:ilvl w:val="3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9F3137">
              <w:rPr>
                <w:sz w:val="20"/>
                <w:szCs w:val="20"/>
              </w:rPr>
              <w:t>utrzymująca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się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powyżej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28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dni,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toksyczność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spowodowana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lekiem,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3.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4.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stopnia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(inna</w:t>
            </w:r>
            <w:r w:rsidR="001E24F4">
              <w:rPr>
                <w:sz w:val="20"/>
                <w:szCs w:val="20"/>
              </w:rPr>
              <w:t xml:space="preserve"> </w:t>
            </w:r>
            <w:r w:rsidR="00DC6E9A" w:rsidRPr="009F3137">
              <w:rPr>
                <w:sz w:val="20"/>
                <w:szCs w:val="20"/>
              </w:rPr>
              <w:t>niż,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nudności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i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wymioty)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ustępująca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pomimo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odroczenia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leczenia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o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28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dni;</w:t>
            </w:r>
          </w:p>
          <w:p w14:paraId="2246055B" w14:textId="77777777" w:rsidR="00B0142A" w:rsidRPr="009F3137" w:rsidRDefault="006F4502" w:rsidP="009F3137">
            <w:pPr>
              <w:numPr>
                <w:ilvl w:val="3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9F3137">
              <w:rPr>
                <w:sz w:val="20"/>
                <w:szCs w:val="20"/>
              </w:rPr>
              <w:t>ciąża</w:t>
            </w:r>
            <w:r w:rsidR="00F06412" w:rsidRPr="009F3137">
              <w:rPr>
                <w:sz w:val="20"/>
                <w:szCs w:val="20"/>
              </w:rPr>
              <w:t>.</w:t>
            </w:r>
          </w:p>
          <w:p w14:paraId="33516560" w14:textId="2D94030E" w:rsidR="003C4635" w:rsidRPr="009F3137" w:rsidRDefault="003C4635" w:rsidP="009F3137">
            <w:pPr>
              <w:autoSpaceDE w:val="0"/>
              <w:autoSpaceDN w:val="0"/>
              <w:adjustRightInd w:val="0"/>
              <w:spacing w:after="60" w:line="276" w:lineRule="auto"/>
              <w:ind w:left="454"/>
              <w:jc w:val="both"/>
              <w:rPr>
                <w:sz w:val="20"/>
                <w:szCs w:val="20"/>
              </w:rPr>
            </w:pPr>
          </w:p>
        </w:tc>
        <w:tc>
          <w:tcPr>
            <w:tcW w:w="1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6310D" w14:textId="78005A81" w:rsidR="00BF0462" w:rsidRPr="009F3137" w:rsidRDefault="00BF0462" w:rsidP="001E24F4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9F3137">
              <w:rPr>
                <w:b/>
                <w:bCs/>
                <w:sz w:val="20"/>
                <w:szCs w:val="20"/>
              </w:rPr>
              <w:lastRenderedPageBreak/>
              <w:t>Leczenie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9F3137">
              <w:rPr>
                <w:b/>
                <w:bCs/>
                <w:sz w:val="20"/>
                <w:szCs w:val="20"/>
              </w:rPr>
              <w:t>chorych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9F3137">
              <w:rPr>
                <w:b/>
                <w:bCs/>
                <w:sz w:val="20"/>
                <w:szCs w:val="20"/>
              </w:rPr>
              <w:t>na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9F3137">
              <w:rPr>
                <w:b/>
                <w:bCs/>
                <w:sz w:val="20"/>
                <w:szCs w:val="20"/>
              </w:rPr>
              <w:t>chłoniaki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9F3137">
              <w:rPr>
                <w:b/>
                <w:bCs/>
                <w:sz w:val="20"/>
                <w:szCs w:val="20"/>
              </w:rPr>
              <w:t>złośliwe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9F3137">
              <w:rPr>
                <w:b/>
                <w:bCs/>
                <w:sz w:val="20"/>
                <w:szCs w:val="20"/>
              </w:rPr>
              <w:t>(ICD-10: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9F3137">
              <w:rPr>
                <w:b/>
                <w:bCs/>
                <w:sz w:val="20"/>
                <w:szCs w:val="20"/>
              </w:rPr>
              <w:t>C83,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9F3137">
              <w:rPr>
                <w:b/>
                <w:bCs/>
                <w:sz w:val="20"/>
                <w:szCs w:val="20"/>
              </w:rPr>
              <w:t>C85)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9F3137">
              <w:rPr>
                <w:b/>
                <w:bCs/>
                <w:sz w:val="20"/>
                <w:szCs w:val="20"/>
              </w:rPr>
              <w:t>piksantronem</w:t>
            </w:r>
          </w:p>
          <w:p w14:paraId="15BBAC3E" w14:textId="4C5F398C" w:rsidR="00BF0462" w:rsidRPr="009F3137" w:rsidRDefault="00BF0462" w:rsidP="009F3137">
            <w:pPr>
              <w:pStyle w:val="Akapitzlist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9F3137">
              <w:rPr>
                <w:b/>
                <w:bCs/>
                <w:sz w:val="20"/>
                <w:szCs w:val="20"/>
              </w:rPr>
              <w:t>Dawkowanie</w:t>
            </w:r>
          </w:p>
          <w:p w14:paraId="3CE9F198" w14:textId="03B338A8" w:rsidR="006F4502" w:rsidRPr="009F3137" w:rsidRDefault="006F4502" w:rsidP="009F3137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Cs/>
                <w:sz w:val="20"/>
                <w:szCs w:val="20"/>
              </w:rPr>
            </w:pPr>
            <w:r w:rsidRPr="009F3137">
              <w:rPr>
                <w:bCs/>
                <w:sz w:val="20"/>
                <w:szCs w:val="20"/>
              </w:rPr>
              <w:t>Zalecana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dawka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piksantronu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wynosi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50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mg/m</w:t>
            </w:r>
            <w:r w:rsidRPr="009F3137">
              <w:rPr>
                <w:bCs/>
                <w:sz w:val="20"/>
                <w:szCs w:val="20"/>
                <w:vertAlign w:val="superscript"/>
              </w:rPr>
              <w:t>2</w:t>
            </w:r>
            <w:r w:rsidR="001E24F4">
              <w:rPr>
                <w:bCs/>
                <w:sz w:val="20"/>
                <w:szCs w:val="20"/>
                <w:vertAlign w:val="superscript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pow.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ciała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w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postaci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infuzji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dożylnej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podawanej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w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1.,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8.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oraz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15.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dniu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każdego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28-dniowego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cyklu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–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przez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nie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więcej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niż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6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cykli.</w:t>
            </w:r>
          </w:p>
          <w:p w14:paraId="75E615DA" w14:textId="35A5AF55" w:rsidR="006F4502" w:rsidRPr="009F3137" w:rsidRDefault="006F4502" w:rsidP="009F3137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9F3137">
              <w:rPr>
                <w:sz w:val="20"/>
                <w:szCs w:val="20"/>
              </w:rPr>
              <w:t>Piksantron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jest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przeznaczony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do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podawania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powolnym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wlewie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dożylnym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(trwającym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co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najmniej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60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minut)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za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pomocą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zestawu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do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infuzji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wyposażonego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filtr,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wyłącznie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po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uprzednim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rozpuszczeniu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5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ml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0,9%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roztworu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chlorku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sodu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(9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mg/ml)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do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wstrzykiwań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i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po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dalszym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rozcieńczeniu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0,9%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roztworze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chlorku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sodu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do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wstrzykiwań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do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ostatecznej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objętości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250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ml.</w:t>
            </w:r>
          </w:p>
          <w:p w14:paraId="16E150E5" w14:textId="77777777" w:rsidR="006F4502" w:rsidRPr="009F3137" w:rsidRDefault="006F4502" w:rsidP="009F3137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5CE92F0A" w14:textId="3DE818B8" w:rsidR="006F4502" w:rsidRPr="009F3137" w:rsidRDefault="006F4502" w:rsidP="009F3137">
            <w:pPr>
              <w:pStyle w:val="Akapitzlist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9F3137">
              <w:rPr>
                <w:b/>
                <w:bCs/>
                <w:sz w:val="20"/>
                <w:szCs w:val="20"/>
              </w:rPr>
              <w:t>Modyfikacja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9F3137">
              <w:rPr>
                <w:b/>
                <w:bCs/>
                <w:sz w:val="20"/>
                <w:szCs w:val="20"/>
              </w:rPr>
              <w:t>dawk</w:t>
            </w:r>
            <w:r w:rsidR="00507469" w:rsidRPr="009F3137">
              <w:rPr>
                <w:b/>
                <w:bCs/>
                <w:sz w:val="20"/>
                <w:szCs w:val="20"/>
              </w:rPr>
              <w:t>i</w:t>
            </w:r>
          </w:p>
          <w:p w14:paraId="78BE8844" w14:textId="295273F1" w:rsidR="006F4502" w:rsidRPr="009F3137" w:rsidRDefault="006F4502" w:rsidP="009F3137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9F3137">
              <w:rPr>
                <w:bCs/>
                <w:sz w:val="20"/>
                <w:szCs w:val="20"/>
              </w:rPr>
              <w:t>Dawkowanie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piksantronu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kontynuuje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się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lub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modyfikuje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(dawkę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leku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lub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rytm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podawania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w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cyklu)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na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podstawie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obserwacji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klinicznych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i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wyników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badań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laboratoryjnych,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zgodnie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z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lastRenderedPageBreak/>
              <w:t>zaleceniami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zawartymi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w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Charakterystyce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Produktu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9F3137">
              <w:rPr>
                <w:bCs/>
                <w:sz w:val="20"/>
                <w:szCs w:val="20"/>
              </w:rPr>
              <w:t>Leczniczego.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3A18E" w14:textId="2BB72665" w:rsidR="00BF0462" w:rsidRPr="009F3137" w:rsidRDefault="00BF0462" w:rsidP="001E24F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9F3137">
              <w:rPr>
                <w:b/>
                <w:bCs/>
                <w:sz w:val="20"/>
                <w:szCs w:val="20"/>
              </w:rPr>
              <w:lastRenderedPageBreak/>
              <w:t>Leczenie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9F3137">
              <w:rPr>
                <w:b/>
                <w:bCs/>
                <w:sz w:val="20"/>
                <w:szCs w:val="20"/>
              </w:rPr>
              <w:t>chorych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9F3137">
              <w:rPr>
                <w:b/>
                <w:bCs/>
                <w:sz w:val="20"/>
                <w:szCs w:val="20"/>
              </w:rPr>
              <w:t>na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9F3137">
              <w:rPr>
                <w:b/>
                <w:bCs/>
                <w:sz w:val="20"/>
                <w:szCs w:val="20"/>
              </w:rPr>
              <w:t>chłoniaki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9F3137">
              <w:rPr>
                <w:b/>
                <w:bCs/>
                <w:sz w:val="20"/>
                <w:szCs w:val="20"/>
              </w:rPr>
              <w:t>złośliwe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9F3137">
              <w:rPr>
                <w:b/>
                <w:bCs/>
                <w:sz w:val="20"/>
                <w:szCs w:val="20"/>
              </w:rPr>
              <w:t>(ICD-10: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9F3137">
              <w:rPr>
                <w:b/>
                <w:bCs/>
                <w:sz w:val="20"/>
                <w:szCs w:val="20"/>
              </w:rPr>
              <w:t>C83,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9F3137">
              <w:rPr>
                <w:b/>
                <w:bCs/>
                <w:sz w:val="20"/>
                <w:szCs w:val="20"/>
              </w:rPr>
              <w:t>C85)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9F3137">
              <w:rPr>
                <w:b/>
                <w:bCs/>
                <w:sz w:val="20"/>
                <w:szCs w:val="20"/>
              </w:rPr>
              <w:t>piksantronem</w:t>
            </w:r>
          </w:p>
          <w:p w14:paraId="3F37B6A7" w14:textId="3EA687A6" w:rsidR="00BF0462" w:rsidRPr="009F3137" w:rsidRDefault="00BF0462" w:rsidP="009F3137">
            <w:pPr>
              <w:pStyle w:val="Akapitzlist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9F3137">
              <w:rPr>
                <w:b/>
                <w:bCs/>
                <w:sz w:val="20"/>
                <w:szCs w:val="20"/>
              </w:rPr>
              <w:t>Badania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9F3137">
              <w:rPr>
                <w:b/>
                <w:bCs/>
                <w:sz w:val="20"/>
                <w:szCs w:val="20"/>
              </w:rPr>
              <w:t>przy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9F3137">
              <w:rPr>
                <w:b/>
                <w:bCs/>
                <w:sz w:val="20"/>
                <w:szCs w:val="20"/>
              </w:rPr>
              <w:t>kwalifikacji</w:t>
            </w:r>
          </w:p>
          <w:p w14:paraId="54BF8263" w14:textId="318DED54" w:rsidR="006F4502" w:rsidRPr="009F3137" w:rsidRDefault="006F4502" w:rsidP="009F3137">
            <w:pPr>
              <w:numPr>
                <w:ilvl w:val="3"/>
                <w:numId w:val="24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9F3137">
              <w:rPr>
                <w:sz w:val="20"/>
                <w:szCs w:val="20"/>
              </w:rPr>
              <w:t>morfologia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krwi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z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rozmazem;</w:t>
            </w:r>
          </w:p>
          <w:p w14:paraId="51F9FD0F" w14:textId="7ADF5967" w:rsidR="006F4502" w:rsidRPr="009F3137" w:rsidRDefault="006F4502" w:rsidP="009F3137">
            <w:pPr>
              <w:numPr>
                <w:ilvl w:val="3"/>
                <w:numId w:val="24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9F3137">
              <w:rPr>
                <w:sz w:val="20"/>
                <w:szCs w:val="20"/>
              </w:rPr>
              <w:t>stężenie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bilirubiny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całkowitej</w:t>
            </w:r>
            <w:r w:rsidR="00B5059B" w:rsidRPr="009F3137">
              <w:rPr>
                <w:sz w:val="20"/>
                <w:szCs w:val="20"/>
              </w:rPr>
              <w:t>,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AspAT,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ALAT</w:t>
            </w:r>
            <w:r w:rsidR="00B5059B" w:rsidRPr="009F3137">
              <w:rPr>
                <w:sz w:val="20"/>
                <w:szCs w:val="20"/>
              </w:rPr>
              <w:t>;</w:t>
            </w:r>
          </w:p>
          <w:p w14:paraId="7E6E1444" w14:textId="71108493" w:rsidR="006F4502" w:rsidRPr="009F3137" w:rsidRDefault="006F4502" w:rsidP="009F3137">
            <w:pPr>
              <w:numPr>
                <w:ilvl w:val="3"/>
                <w:numId w:val="24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9F3137">
              <w:rPr>
                <w:sz w:val="20"/>
                <w:szCs w:val="20"/>
              </w:rPr>
              <w:t>stężenie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kreatyniny;</w:t>
            </w:r>
          </w:p>
          <w:p w14:paraId="600C8384" w14:textId="49292A2D" w:rsidR="006F4502" w:rsidRPr="009F3137" w:rsidRDefault="006F4502" w:rsidP="009F3137">
            <w:pPr>
              <w:numPr>
                <w:ilvl w:val="3"/>
                <w:numId w:val="24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9F3137">
              <w:rPr>
                <w:sz w:val="20"/>
                <w:szCs w:val="20"/>
              </w:rPr>
              <w:t>badania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obrazowe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(w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tym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USG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RTG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TK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RM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inne)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mające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na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celu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udokumentowanie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podpunktu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4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kryteriów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kwalifikacji;</w:t>
            </w:r>
          </w:p>
          <w:p w14:paraId="5B1E40E2" w14:textId="77777777" w:rsidR="006F4502" w:rsidRPr="009F3137" w:rsidRDefault="006F4502" w:rsidP="009F3137">
            <w:pPr>
              <w:numPr>
                <w:ilvl w:val="3"/>
                <w:numId w:val="24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9F3137">
              <w:rPr>
                <w:sz w:val="20"/>
                <w:szCs w:val="20"/>
              </w:rPr>
              <w:t>EKG;</w:t>
            </w:r>
          </w:p>
          <w:p w14:paraId="32AC0774" w14:textId="3C6D8C94" w:rsidR="006F4502" w:rsidRPr="009F3137" w:rsidRDefault="006F4502" w:rsidP="009F3137">
            <w:pPr>
              <w:numPr>
                <w:ilvl w:val="3"/>
                <w:numId w:val="24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9F3137">
              <w:rPr>
                <w:sz w:val="20"/>
                <w:szCs w:val="20"/>
              </w:rPr>
              <w:t>ocena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LVEF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wykonana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metodą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ECHO.</w:t>
            </w:r>
          </w:p>
          <w:p w14:paraId="4ABB21AB" w14:textId="77777777" w:rsidR="00B0142A" w:rsidRPr="009F3137" w:rsidRDefault="00B0142A" w:rsidP="009F3137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ind w:left="454"/>
              <w:jc w:val="both"/>
              <w:rPr>
                <w:sz w:val="20"/>
                <w:szCs w:val="20"/>
              </w:rPr>
            </w:pPr>
          </w:p>
          <w:p w14:paraId="0CA6AF75" w14:textId="6D4145C4" w:rsidR="006F4502" w:rsidRPr="009F3137" w:rsidRDefault="006F4502" w:rsidP="009F3137">
            <w:pPr>
              <w:pStyle w:val="Akapitzlist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9F3137">
              <w:rPr>
                <w:b/>
                <w:bCs/>
                <w:sz w:val="20"/>
                <w:szCs w:val="20"/>
              </w:rPr>
              <w:t>Monitorowanie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9F3137">
              <w:rPr>
                <w:b/>
                <w:bCs/>
                <w:sz w:val="20"/>
                <w:szCs w:val="20"/>
              </w:rPr>
              <w:t>leczenia</w:t>
            </w:r>
          </w:p>
          <w:p w14:paraId="71A5C576" w14:textId="36217F16" w:rsidR="006F4502" w:rsidRPr="009F3137" w:rsidRDefault="006F4502" w:rsidP="009F3137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9F3137">
              <w:rPr>
                <w:sz w:val="20"/>
                <w:szCs w:val="20"/>
              </w:rPr>
              <w:t>Badania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wykonywane:</w:t>
            </w:r>
          </w:p>
          <w:p w14:paraId="7F953547" w14:textId="44E8E661" w:rsidR="006F4502" w:rsidRPr="009F3137" w:rsidRDefault="006F4502" w:rsidP="009F3137">
            <w:pPr>
              <w:pStyle w:val="Akapitzlist"/>
              <w:numPr>
                <w:ilvl w:val="3"/>
                <w:numId w:val="24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9F3137">
              <w:rPr>
                <w:sz w:val="20"/>
                <w:szCs w:val="20"/>
              </w:rPr>
              <w:t>przed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każdym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podaniem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leku:</w:t>
            </w:r>
          </w:p>
          <w:p w14:paraId="1A29D6E9" w14:textId="019419D0" w:rsidR="006F4502" w:rsidRPr="009F3137" w:rsidRDefault="006F4502" w:rsidP="009F3137">
            <w:pPr>
              <w:pStyle w:val="Akapitzlist"/>
              <w:numPr>
                <w:ilvl w:val="5"/>
                <w:numId w:val="24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9F3137">
              <w:rPr>
                <w:sz w:val="20"/>
                <w:szCs w:val="20"/>
              </w:rPr>
              <w:t>morfologia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krwi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z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rozmazem,</w:t>
            </w:r>
          </w:p>
          <w:p w14:paraId="522674B2" w14:textId="378A38AB" w:rsidR="006F4502" w:rsidRPr="009F3137" w:rsidRDefault="006F4502" w:rsidP="009F3137">
            <w:pPr>
              <w:pStyle w:val="Akapitzlist"/>
              <w:numPr>
                <w:ilvl w:val="5"/>
                <w:numId w:val="24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9F3137">
              <w:rPr>
                <w:sz w:val="20"/>
                <w:szCs w:val="20"/>
              </w:rPr>
              <w:t>stężenie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kreatyniny,</w:t>
            </w:r>
          </w:p>
          <w:p w14:paraId="2857B884" w14:textId="1D76E6B6" w:rsidR="006F4502" w:rsidRPr="009F3137" w:rsidRDefault="006F4502" w:rsidP="009F3137">
            <w:pPr>
              <w:pStyle w:val="Akapitzlist"/>
              <w:numPr>
                <w:ilvl w:val="5"/>
                <w:numId w:val="24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9F3137">
              <w:rPr>
                <w:sz w:val="20"/>
                <w:szCs w:val="20"/>
              </w:rPr>
              <w:t>stężenie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bilirubiny;</w:t>
            </w:r>
          </w:p>
          <w:p w14:paraId="484E705A" w14:textId="70C3A2DC" w:rsidR="006F4502" w:rsidRPr="009F3137" w:rsidRDefault="006F4502" w:rsidP="009F3137">
            <w:pPr>
              <w:pStyle w:val="Akapitzlist"/>
              <w:numPr>
                <w:ilvl w:val="3"/>
                <w:numId w:val="24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9F3137">
              <w:rPr>
                <w:sz w:val="20"/>
                <w:szCs w:val="20"/>
              </w:rPr>
              <w:t>co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drugi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cykl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leczenia:</w:t>
            </w:r>
          </w:p>
          <w:p w14:paraId="043902B8" w14:textId="025F1916" w:rsidR="006F4502" w:rsidRPr="009F3137" w:rsidRDefault="006F4502" w:rsidP="009F3137">
            <w:pPr>
              <w:pStyle w:val="Akapitzlist"/>
              <w:numPr>
                <w:ilvl w:val="5"/>
                <w:numId w:val="24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9F3137">
              <w:rPr>
                <w:sz w:val="20"/>
                <w:szCs w:val="20"/>
              </w:rPr>
              <w:lastRenderedPageBreak/>
              <w:t>ECHO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serca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z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oceną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EF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oraz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EKG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(przed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podaniem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leku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pierwszym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dniu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28-dniowego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cyklu);</w:t>
            </w:r>
          </w:p>
          <w:p w14:paraId="1A29EE0A" w14:textId="1391D451" w:rsidR="006F4502" w:rsidRPr="009F3137" w:rsidRDefault="006F4502" w:rsidP="009F3137">
            <w:pPr>
              <w:pStyle w:val="Akapitzlist"/>
              <w:numPr>
                <w:ilvl w:val="3"/>
                <w:numId w:val="24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9F3137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razie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podejrzenia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progresji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choroby:</w:t>
            </w:r>
          </w:p>
          <w:p w14:paraId="559DBB04" w14:textId="1F391DFF" w:rsidR="006F4502" w:rsidRPr="009F3137" w:rsidRDefault="006F4502" w:rsidP="009F3137">
            <w:pPr>
              <w:pStyle w:val="Akapitzlist"/>
              <w:numPr>
                <w:ilvl w:val="5"/>
                <w:numId w:val="24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9F3137">
              <w:rPr>
                <w:sz w:val="20"/>
                <w:szCs w:val="20"/>
              </w:rPr>
              <w:t>odpowiednie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badania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obrazowe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(w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tym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USG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RTG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TK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RM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Pr="009F3137">
              <w:rPr>
                <w:sz w:val="20"/>
                <w:szCs w:val="20"/>
              </w:rPr>
              <w:t>inne).</w:t>
            </w:r>
          </w:p>
          <w:p w14:paraId="0D028AB8" w14:textId="62B115B6" w:rsidR="00F06412" w:rsidRPr="009F3137" w:rsidRDefault="00F06412" w:rsidP="009F3137">
            <w:pPr>
              <w:tabs>
                <w:tab w:val="left" w:pos="-13396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</w:tc>
      </w:tr>
      <w:tr w:rsidR="00BF0462" w:rsidRPr="007E3BCE" w14:paraId="538C5FDC" w14:textId="77777777" w:rsidTr="009F3137">
        <w:trPr>
          <w:trHeight w:val="20"/>
        </w:trPr>
        <w:tc>
          <w:tcPr>
            <w:tcW w:w="1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1089C" w14:textId="06C7F1FF" w:rsidR="00AC7C23" w:rsidRPr="001E24F4" w:rsidRDefault="007E6DE4" w:rsidP="001E24F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b/>
                <w:bCs/>
                <w:sz w:val="20"/>
                <w:szCs w:val="20"/>
              </w:rPr>
              <w:lastRenderedPageBreak/>
              <w:t>Leczenie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chorych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na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chłoniaka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rozlanego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z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dużych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komórek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B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="007D191B" w:rsidRPr="001E24F4">
              <w:rPr>
                <w:b/>
                <w:bCs/>
                <w:sz w:val="20"/>
                <w:szCs w:val="20"/>
              </w:rPr>
              <w:t>(DLBCL)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polatuzumabem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wedotyny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w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skojarzeniu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z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bendamustyną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i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rytuksymabem</w:t>
            </w:r>
          </w:p>
          <w:p w14:paraId="2EB5CD6E" w14:textId="7C51F280" w:rsidR="007E6DE4" w:rsidRPr="001E24F4" w:rsidRDefault="007E6DE4" w:rsidP="001E24F4">
            <w:pPr>
              <w:pStyle w:val="Akapitzlist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b/>
                <w:bCs/>
                <w:sz w:val="20"/>
                <w:szCs w:val="20"/>
              </w:rPr>
              <w:t>Kryteria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kwalifikacji</w:t>
            </w:r>
          </w:p>
          <w:p w14:paraId="0F96D360" w14:textId="1488EA0B" w:rsidR="007E6DE4" w:rsidRPr="001E24F4" w:rsidRDefault="007D191B" w:rsidP="001E24F4">
            <w:pPr>
              <w:numPr>
                <w:ilvl w:val="2"/>
                <w:numId w:val="22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oporny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nawrotowy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potwierdzony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histologicznie</w:t>
            </w:r>
            <w:r w:rsidR="001E24F4">
              <w:rPr>
                <w:sz w:val="20"/>
                <w:szCs w:val="20"/>
              </w:rPr>
              <w:t xml:space="preserve"> </w:t>
            </w:r>
            <w:r w:rsidR="00E844D1" w:rsidRPr="001E24F4">
              <w:rPr>
                <w:sz w:val="20"/>
                <w:szCs w:val="20"/>
              </w:rPr>
              <w:t>chłoniak</w:t>
            </w:r>
            <w:r w:rsidR="001E24F4">
              <w:rPr>
                <w:sz w:val="20"/>
                <w:szCs w:val="20"/>
              </w:rPr>
              <w:t xml:space="preserve"> </w:t>
            </w:r>
            <w:r w:rsidR="00E844D1" w:rsidRPr="001E24F4">
              <w:rPr>
                <w:sz w:val="20"/>
                <w:szCs w:val="20"/>
              </w:rPr>
              <w:t>DLBCL;</w:t>
            </w:r>
          </w:p>
          <w:p w14:paraId="2837B842" w14:textId="42715A41" w:rsidR="007E6DE4" w:rsidRPr="001E24F4" w:rsidRDefault="007E6DE4" w:rsidP="001E24F4">
            <w:pPr>
              <w:numPr>
                <w:ilvl w:val="2"/>
                <w:numId w:val="22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wiek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≥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18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rok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życia;</w:t>
            </w:r>
          </w:p>
          <w:p w14:paraId="7CA48028" w14:textId="3331261F" w:rsidR="007E6DE4" w:rsidRPr="001E24F4" w:rsidRDefault="007E6DE4" w:rsidP="001E24F4">
            <w:pPr>
              <w:numPr>
                <w:ilvl w:val="2"/>
                <w:numId w:val="22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stan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sprawności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według</w:t>
            </w:r>
            <w:r w:rsidR="001E24F4">
              <w:rPr>
                <w:sz w:val="20"/>
                <w:szCs w:val="20"/>
              </w:rPr>
              <w:t xml:space="preserve"> </w:t>
            </w:r>
            <w:r w:rsidR="00E844D1" w:rsidRPr="001E24F4">
              <w:rPr>
                <w:sz w:val="20"/>
                <w:szCs w:val="20"/>
              </w:rPr>
              <w:t>ECOG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0-2;</w:t>
            </w:r>
          </w:p>
          <w:p w14:paraId="4DD589F9" w14:textId="03C2D35F" w:rsidR="007E6DE4" w:rsidRPr="001E24F4" w:rsidRDefault="004D4744" w:rsidP="001E24F4">
            <w:pPr>
              <w:numPr>
                <w:ilvl w:val="2"/>
                <w:numId w:val="22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przeciw</w:t>
            </w:r>
            <w:r w:rsidR="00755D68" w:rsidRPr="001E24F4">
              <w:rPr>
                <w:sz w:val="20"/>
                <w:szCs w:val="20"/>
              </w:rPr>
              <w:t>w</w:t>
            </w:r>
            <w:r w:rsidRPr="001E24F4">
              <w:rPr>
                <w:sz w:val="20"/>
                <w:szCs w:val="20"/>
              </w:rPr>
              <w:t>skazania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do</w:t>
            </w:r>
            <w:r w:rsidR="001E24F4">
              <w:rPr>
                <w:sz w:val="20"/>
                <w:szCs w:val="20"/>
              </w:rPr>
              <w:t xml:space="preserve"> </w:t>
            </w:r>
            <w:r w:rsidR="00E844D1" w:rsidRPr="001E24F4">
              <w:rPr>
                <w:sz w:val="20"/>
                <w:szCs w:val="20"/>
              </w:rPr>
              <w:t>przeszczepienia</w:t>
            </w:r>
            <w:r w:rsidR="001E24F4">
              <w:rPr>
                <w:sz w:val="20"/>
                <w:szCs w:val="20"/>
              </w:rPr>
              <w:t xml:space="preserve"> </w:t>
            </w:r>
            <w:r w:rsidR="00E844D1" w:rsidRPr="001E24F4">
              <w:rPr>
                <w:sz w:val="20"/>
                <w:szCs w:val="20"/>
              </w:rPr>
              <w:t>krwiotwórczych</w:t>
            </w:r>
            <w:r w:rsidR="001E24F4">
              <w:rPr>
                <w:sz w:val="20"/>
                <w:szCs w:val="20"/>
              </w:rPr>
              <w:t xml:space="preserve"> </w:t>
            </w:r>
            <w:r w:rsidR="00E844D1" w:rsidRPr="001E24F4">
              <w:rPr>
                <w:sz w:val="20"/>
                <w:szCs w:val="20"/>
              </w:rPr>
              <w:t>komórek</w:t>
            </w:r>
            <w:r w:rsidR="001E24F4">
              <w:rPr>
                <w:sz w:val="20"/>
                <w:szCs w:val="20"/>
              </w:rPr>
              <w:t xml:space="preserve"> </w:t>
            </w:r>
            <w:r w:rsidR="00E844D1" w:rsidRPr="001E24F4">
              <w:rPr>
                <w:sz w:val="20"/>
                <w:szCs w:val="20"/>
              </w:rPr>
              <w:t>macierzystych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momencie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kwalifikacji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programu</w:t>
            </w:r>
            <w:r w:rsidR="001E24F4">
              <w:rPr>
                <w:sz w:val="20"/>
                <w:szCs w:val="20"/>
              </w:rPr>
              <w:t xml:space="preserve"> </w:t>
            </w:r>
            <w:r w:rsidR="00F659EC" w:rsidRPr="001E24F4">
              <w:rPr>
                <w:sz w:val="20"/>
                <w:szCs w:val="20"/>
              </w:rPr>
              <w:t>lekowego</w:t>
            </w:r>
            <w:r w:rsidR="00E844D1" w:rsidRPr="001E24F4">
              <w:rPr>
                <w:sz w:val="20"/>
                <w:szCs w:val="20"/>
              </w:rPr>
              <w:t>;</w:t>
            </w:r>
          </w:p>
          <w:p w14:paraId="141AF0A6" w14:textId="7C4F36C9" w:rsidR="007E6DE4" w:rsidRPr="001E24F4" w:rsidRDefault="00E844D1" w:rsidP="001E24F4">
            <w:pPr>
              <w:numPr>
                <w:ilvl w:val="2"/>
                <w:numId w:val="22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stosowano</w:t>
            </w:r>
            <w:r w:rsidR="001E24F4">
              <w:rPr>
                <w:sz w:val="20"/>
                <w:szCs w:val="20"/>
              </w:rPr>
              <w:t xml:space="preserve"> </w:t>
            </w:r>
            <w:r w:rsidR="00F659EC" w:rsidRPr="001E24F4">
              <w:rPr>
                <w:sz w:val="20"/>
                <w:szCs w:val="20"/>
              </w:rPr>
              <w:t>co</w:t>
            </w:r>
            <w:r w:rsidR="001E24F4">
              <w:rPr>
                <w:sz w:val="20"/>
                <w:szCs w:val="20"/>
              </w:rPr>
              <w:t xml:space="preserve"> </w:t>
            </w:r>
            <w:r w:rsidR="00F659EC" w:rsidRPr="001E24F4">
              <w:rPr>
                <w:sz w:val="20"/>
                <w:szCs w:val="20"/>
              </w:rPr>
              <w:t>najmniej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1</w:t>
            </w:r>
            <w:r w:rsidR="001E24F4">
              <w:rPr>
                <w:sz w:val="20"/>
                <w:szCs w:val="20"/>
              </w:rPr>
              <w:t xml:space="preserve"> </w:t>
            </w:r>
            <w:r w:rsidR="00F659EC" w:rsidRPr="001E24F4">
              <w:rPr>
                <w:sz w:val="20"/>
                <w:szCs w:val="20"/>
              </w:rPr>
              <w:t>linię</w:t>
            </w:r>
            <w:r w:rsidR="001E24F4">
              <w:rPr>
                <w:sz w:val="20"/>
                <w:szCs w:val="20"/>
              </w:rPr>
              <w:t xml:space="preserve"> </w:t>
            </w:r>
            <w:r w:rsidR="00F659EC" w:rsidRPr="001E24F4">
              <w:rPr>
                <w:sz w:val="20"/>
                <w:szCs w:val="20"/>
              </w:rPr>
              <w:t>leczenia</w:t>
            </w:r>
            <w:r w:rsidRPr="001E24F4">
              <w:rPr>
                <w:sz w:val="20"/>
                <w:szCs w:val="20"/>
              </w:rPr>
              <w:t>.</w:t>
            </w:r>
          </w:p>
          <w:p w14:paraId="688EC5F4" w14:textId="0F7330A1" w:rsidR="007E6DE4" w:rsidRPr="001E24F4" w:rsidRDefault="007E6DE4" w:rsidP="001E24F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Kryteria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kwalifikacji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muszą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być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spełnione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łącznie.</w:t>
            </w:r>
          </w:p>
          <w:p w14:paraId="1F7F209D" w14:textId="094A3357" w:rsidR="00BF0462" w:rsidRPr="001E24F4" w:rsidRDefault="007E6DE4" w:rsidP="001E24F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Ponadto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programu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lekowego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kwalifikowani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są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również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pacjenci,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którzy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byli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leczeni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ramach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innego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sposobu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finansowania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terapii,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pod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warunkiem,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że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chwili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rozpoczęcia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leczenia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spełniali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kryteria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kwalifikacji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programu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lekowego.</w:t>
            </w:r>
          </w:p>
          <w:p w14:paraId="23A93103" w14:textId="77777777" w:rsidR="007E6DE4" w:rsidRPr="001E24F4" w:rsidRDefault="007E6DE4" w:rsidP="001E24F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16B76999" w14:textId="2C7417FB" w:rsidR="007E6DE4" w:rsidRPr="001E24F4" w:rsidRDefault="007E6DE4" w:rsidP="001E24F4">
            <w:pPr>
              <w:pStyle w:val="Akapitzlist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1E24F4">
              <w:rPr>
                <w:b/>
                <w:bCs/>
                <w:sz w:val="20"/>
                <w:szCs w:val="20"/>
              </w:rPr>
              <w:t>Określenie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czasu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leczenia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w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programie</w:t>
            </w:r>
          </w:p>
          <w:p w14:paraId="55BDA702" w14:textId="6702178A" w:rsidR="007E6DE4" w:rsidRPr="001E24F4" w:rsidRDefault="00F70A24" w:rsidP="001E24F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Cs/>
                <w:sz w:val="20"/>
                <w:szCs w:val="20"/>
              </w:rPr>
            </w:pPr>
            <w:r w:rsidRPr="001E24F4">
              <w:rPr>
                <w:bCs/>
                <w:sz w:val="20"/>
                <w:szCs w:val="20"/>
              </w:rPr>
              <w:t>Maksymalny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czas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leczenia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wynosi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6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cykli</w:t>
            </w:r>
            <w:r w:rsidR="00F06412" w:rsidRPr="001E24F4">
              <w:rPr>
                <w:bCs/>
                <w:sz w:val="20"/>
                <w:szCs w:val="20"/>
              </w:rPr>
              <w:t>.</w:t>
            </w:r>
          </w:p>
          <w:p w14:paraId="0F09E814" w14:textId="77777777" w:rsidR="00F70A24" w:rsidRPr="001E24F4" w:rsidRDefault="00F70A24" w:rsidP="001E24F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67BCE652" w14:textId="3C1CA974" w:rsidR="007E6DE4" w:rsidRPr="001E24F4" w:rsidRDefault="007E6DE4" w:rsidP="001E24F4">
            <w:pPr>
              <w:pStyle w:val="Akapitzlist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Cs/>
                <w:sz w:val="20"/>
                <w:szCs w:val="20"/>
              </w:rPr>
            </w:pPr>
            <w:r w:rsidRPr="001E24F4">
              <w:rPr>
                <w:b/>
                <w:bCs/>
                <w:sz w:val="20"/>
                <w:szCs w:val="20"/>
              </w:rPr>
              <w:t>Kryteria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stanowiące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przeciw</w:t>
            </w:r>
            <w:r w:rsidR="00472439" w:rsidRPr="001E24F4">
              <w:rPr>
                <w:b/>
                <w:bCs/>
                <w:sz w:val="20"/>
                <w:szCs w:val="20"/>
              </w:rPr>
              <w:t>w</w:t>
            </w:r>
            <w:r w:rsidRPr="001E24F4">
              <w:rPr>
                <w:b/>
                <w:bCs/>
                <w:sz w:val="20"/>
                <w:szCs w:val="20"/>
              </w:rPr>
              <w:t>skazania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do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włączenia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do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programu</w:t>
            </w:r>
          </w:p>
          <w:p w14:paraId="54DCB586" w14:textId="6D8A900F" w:rsidR="007E6DE4" w:rsidRPr="001E24F4" w:rsidRDefault="007E6DE4" w:rsidP="001E24F4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Obecne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najmniej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jedno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poniższych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kryteriów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podczas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kwalifikacji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programu:</w:t>
            </w:r>
          </w:p>
          <w:p w14:paraId="322CB870" w14:textId="11D3456F" w:rsidR="007E6DE4" w:rsidRPr="001E24F4" w:rsidRDefault="00F70A24" w:rsidP="001E24F4">
            <w:pPr>
              <w:numPr>
                <w:ilvl w:val="2"/>
                <w:numId w:val="22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nadwrażliwość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polatuzumab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wedotyny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bendamustynę</w:t>
            </w:r>
            <w:r w:rsidR="001E24F4">
              <w:rPr>
                <w:sz w:val="20"/>
                <w:szCs w:val="20"/>
              </w:rPr>
              <w:t xml:space="preserve"> </w:t>
            </w:r>
            <w:r w:rsidR="00472439" w:rsidRPr="001E24F4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="00472439" w:rsidRPr="001E24F4">
              <w:rPr>
                <w:sz w:val="20"/>
                <w:szCs w:val="20"/>
              </w:rPr>
              <w:t>rytuksymab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białka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mysie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którekolwiek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substancje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pomocnicze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preparatów;</w:t>
            </w:r>
          </w:p>
          <w:p w14:paraId="0875C64B" w14:textId="51C7EBE7" w:rsidR="007E6DE4" w:rsidRPr="001E24F4" w:rsidRDefault="007E6DE4" w:rsidP="001E24F4">
            <w:pPr>
              <w:numPr>
                <w:ilvl w:val="2"/>
                <w:numId w:val="22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ciąża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karmienie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piersią;</w:t>
            </w:r>
          </w:p>
          <w:p w14:paraId="10CC98E2" w14:textId="0463E7D4" w:rsidR="00F70A24" w:rsidRPr="001E24F4" w:rsidRDefault="00F70A24" w:rsidP="001E24F4">
            <w:pPr>
              <w:numPr>
                <w:ilvl w:val="2"/>
                <w:numId w:val="22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lastRenderedPageBreak/>
              <w:t>aktywna,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ciężka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infekcja;</w:t>
            </w:r>
          </w:p>
          <w:p w14:paraId="4318870E" w14:textId="4DD2052A" w:rsidR="00F70A24" w:rsidRPr="001E24F4" w:rsidRDefault="00F70A24" w:rsidP="001E24F4">
            <w:pPr>
              <w:numPr>
                <w:ilvl w:val="2"/>
                <w:numId w:val="22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stężenie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bilirubiny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przekraczające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1,5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razy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wartość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górnej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granicy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normy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dla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danego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laboratorium;</w:t>
            </w:r>
          </w:p>
          <w:p w14:paraId="6ACCA5A5" w14:textId="4BCFB49B" w:rsidR="00791DD0" w:rsidRPr="001E24F4" w:rsidRDefault="00F70A24" w:rsidP="001E24F4">
            <w:pPr>
              <w:numPr>
                <w:ilvl w:val="2"/>
                <w:numId w:val="22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neuropatia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obwodowa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≥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2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stopnia</w:t>
            </w:r>
            <w:r w:rsidR="00791DD0" w:rsidRPr="001E24F4">
              <w:rPr>
                <w:sz w:val="20"/>
                <w:szCs w:val="20"/>
              </w:rPr>
              <w:t>;</w:t>
            </w:r>
            <w:r w:rsidR="001E24F4">
              <w:rPr>
                <w:sz w:val="20"/>
                <w:szCs w:val="20"/>
              </w:rPr>
              <w:t xml:space="preserve"> </w:t>
            </w:r>
          </w:p>
          <w:p w14:paraId="50F67462" w14:textId="6D2E4823" w:rsidR="00791DD0" w:rsidRPr="001E24F4" w:rsidRDefault="00791DD0" w:rsidP="001E24F4">
            <w:pPr>
              <w:numPr>
                <w:ilvl w:val="2"/>
                <w:numId w:val="22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obecność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przeciwwskazań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stosowania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polatuzumabu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wedotyny,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bendamustyny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rytuksymabu,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które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wynikają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Charakterystyk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Produktów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Leczniczych.</w:t>
            </w:r>
          </w:p>
          <w:p w14:paraId="51523A31" w14:textId="77777777" w:rsidR="007E6DE4" w:rsidRPr="001E24F4" w:rsidRDefault="007E6DE4" w:rsidP="001E24F4">
            <w:pPr>
              <w:autoSpaceDE w:val="0"/>
              <w:autoSpaceDN w:val="0"/>
              <w:adjustRightInd w:val="0"/>
              <w:spacing w:after="60" w:line="276" w:lineRule="auto"/>
              <w:ind w:left="454"/>
              <w:jc w:val="both"/>
              <w:rPr>
                <w:sz w:val="20"/>
                <w:szCs w:val="20"/>
              </w:rPr>
            </w:pPr>
          </w:p>
          <w:p w14:paraId="5A8F3900" w14:textId="43655059" w:rsidR="007E6DE4" w:rsidRPr="001E24F4" w:rsidRDefault="007E6DE4" w:rsidP="001E24F4">
            <w:pPr>
              <w:pStyle w:val="Akapitzlist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b/>
                <w:bCs/>
                <w:sz w:val="20"/>
                <w:szCs w:val="20"/>
              </w:rPr>
              <w:t>Kryteria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wyłączenia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z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programu</w:t>
            </w:r>
          </w:p>
          <w:p w14:paraId="438A8E9D" w14:textId="0E5EF152" w:rsidR="007E6DE4" w:rsidRPr="001E24F4" w:rsidRDefault="007E6DE4" w:rsidP="001E24F4">
            <w:pPr>
              <w:numPr>
                <w:ilvl w:val="2"/>
                <w:numId w:val="22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progresja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choroby</w:t>
            </w:r>
            <w:r w:rsidR="001E24F4">
              <w:rPr>
                <w:sz w:val="20"/>
                <w:szCs w:val="20"/>
              </w:rPr>
              <w:t xml:space="preserve"> </w:t>
            </w:r>
            <w:r w:rsidR="00472439"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="00472439" w:rsidRPr="001E24F4">
              <w:rPr>
                <w:sz w:val="20"/>
                <w:szCs w:val="20"/>
              </w:rPr>
              <w:t>trakcie</w:t>
            </w:r>
            <w:r w:rsidR="001E24F4">
              <w:rPr>
                <w:sz w:val="20"/>
                <w:szCs w:val="20"/>
              </w:rPr>
              <w:t xml:space="preserve"> </w:t>
            </w:r>
            <w:r w:rsidR="00472439" w:rsidRPr="001E24F4">
              <w:rPr>
                <w:sz w:val="20"/>
                <w:szCs w:val="20"/>
              </w:rPr>
              <w:t>leczenia;</w:t>
            </w:r>
          </w:p>
          <w:p w14:paraId="6931AB2A" w14:textId="73AE778E" w:rsidR="00472439" w:rsidRPr="001E24F4" w:rsidRDefault="00472439" w:rsidP="001E24F4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wystąpienie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objawów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nadwrażliwości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polatuzumab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wedotyny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bendamustynę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rytuksymab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białka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mysie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którekolwiek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substancje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pomocnicze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preparatów;</w:t>
            </w:r>
          </w:p>
          <w:p w14:paraId="4B8444FD" w14:textId="4FCE1D6B" w:rsidR="00472439" w:rsidRPr="001E24F4" w:rsidRDefault="00472439" w:rsidP="001E24F4">
            <w:pPr>
              <w:numPr>
                <w:ilvl w:val="2"/>
                <w:numId w:val="22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ciąża;</w:t>
            </w:r>
          </w:p>
          <w:p w14:paraId="0FA8C59C" w14:textId="6A6FD63D" w:rsidR="00472439" w:rsidRPr="001E24F4" w:rsidRDefault="00472439" w:rsidP="001E24F4">
            <w:pPr>
              <w:numPr>
                <w:ilvl w:val="2"/>
                <w:numId w:val="22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wystąpienie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ciężkiego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zakażenia;</w:t>
            </w:r>
          </w:p>
          <w:p w14:paraId="0B30C229" w14:textId="35987656" w:rsidR="00472439" w:rsidRPr="001E24F4" w:rsidRDefault="00472439" w:rsidP="001E24F4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rozpoznanie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postępującej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wieloogniskowej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leukoencefalopatii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(PML);</w:t>
            </w:r>
          </w:p>
          <w:p w14:paraId="5CCD8663" w14:textId="356AA8FD" w:rsidR="00472439" w:rsidRPr="001E24F4" w:rsidRDefault="00472439" w:rsidP="001E24F4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stwierdzenie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nieakceptowalnej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toksyczności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pomimo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zastosowania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zaleceń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dotyczących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modyfikacji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dawkowania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zgodnie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ChPL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polatuzumabu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wedotyny,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bendamustyny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rytuksymabu.</w:t>
            </w:r>
          </w:p>
          <w:p w14:paraId="6CDCCDCF" w14:textId="4BC99E9C" w:rsidR="00F06412" w:rsidRPr="001E24F4" w:rsidRDefault="00F06412" w:rsidP="001E24F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F86D5" w14:textId="4C156F9C" w:rsidR="00507469" w:rsidRPr="001E24F4" w:rsidRDefault="00507469" w:rsidP="001E24F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1E24F4">
              <w:rPr>
                <w:b/>
                <w:bCs/>
                <w:sz w:val="20"/>
                <w:szCs w:val="20"/>
              </w:rPr>
              <w:lastRenderedPageBreak/>
              <w:t>Leczenie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chorych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na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chłoniaka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rozlanego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z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dużych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komórek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B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(DLBCL)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polatuzumabem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wedotyny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w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skojarzeniu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z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bendamustyną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i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rytuksymabem</w:t>
            </w:r>
          </w:p>
          <w:p w14:paraId="7BE37312" w14:textId="3E5FF2A1" w:rsidR="00507469" w:rsidRPr="001E24F4" w:rsidRDefault="00507469" w:rsidP="001E24F4">
            <w:pPr>
              <w:pStyle w:val="Akapitzlist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b/>
                <w:bCs/>
                <w:sz w:val="20"/>
                <w:szCs w:val="20"/>
              </w:rPr>
              <w:t>Dawkowanie</w:t>
            </w:r>
          </w:p>
          <w:p w14:paraId="06F5CE21" w14:textId="38F48908" w:rsidR="00507469" w:rsidRPr="001E24F4" w:rsidRDefault="00507469" w:rsidP="001E24F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Polatuzumab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wedotyny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dawce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1,8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mg/kg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mc.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podawany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jest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infuzji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dożylnej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21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dni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skojarzeniu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bendamustyną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rytuksymabem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przez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6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cykli.</w:t>
            </w:r>
            <w:r w:rsidR="001E24F4">
              <w:rPr>
                <w:sz w:val="20"/>
                <w:szCs w:val="20"/>
              </w:rPr>
              <w:t xml:space="preserve"> </w:t>
            </w:r>
          </w:p>
          <w:p w14:paraId="1EF16EF4" w14:textId="4B5542C5" w:rsidR="00507469" w:rsidRPr="001E24F4" w:rsidRDefault="00507469" w:rsidP="001E24F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Polatuzumab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wedotyny,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bendamustyna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rytuksymab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mogą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być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podawane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dowolnej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kolejności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1.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dniu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każdego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cyklu.</w:t>
            </w:r>
            <w:r w:rsidR="001E24F4">
              <w:rPr>
                <w:sz w:val="20"/>
                <w:szCs w:val="20"/>
              </w:rPr>
              <w:t xml:space="preserve"> </w:t>
            </w:r>
          </w:p>
          <w:p w14:paraId="2F3A4B80" w14:textId="79310C18" w:rsidR="00507469" w:rsidRPr="001E24F4" w:rsidRDefault="00507469" w:rsidP="001E24F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leczeniu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skojarzonym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polatuzumabem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wedotyny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zalecana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dawka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bendamustyny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wynosi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90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mg/m</w:t>
            </w:r>
            <w:r w:rsidRPr="001E24F4">
              <w:rPr>
                <w:sz w:val="20"/>
                <w:szCs w:val="20"/>
                <w:vertAlign w:val="superscript"/>
              </w:rPr>
              <w:t>2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pc./dobę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1.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2.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dniu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każdego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cyklu,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zalecana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dawka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rytuksymabu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wynosi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375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mg/m</w:t>
            </w:r>
            <w:r w:rsidRPr="001E24F4">
              <w:rPr>
                <w:sz w:val="20"/>
                <w:szCs w:val="20"/>
                <w:vertAlign w:val="superscript"/>
              </w:rPr>
              <w:t>2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pc.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1.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dniu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każdego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cyklu.</w:t>
            </w:r>
            <w:r w:rsidR="001E24F4">
              <w:rPr>
                <w:sz w:val="20"/>
                <w:szCs w:val="20"/>
              </w:rPr>
              <w:t xml:space="preserve"> </w:t>
            </w:r>
          </w:p>
          <w:p w14:paraId="6A6F4490" w14:textId="1878B9C5" w:rsidR="00507469" w:rsidRPr="001E24F4" w:rsidRDefault="00507469" w:rsidP="001E24F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Zaleca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się,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aby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przekraczać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dawki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polatuzumabu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wedotyny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powyżej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240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mg/cykl.</w:t>
            </w:r>
          </w:p>
          <w:p w14:paraId="70922737" w14:textId="31F74D76" w:rsidR="00507469" w:rsidRPr="001E24F4" w:rsidRDefault="00507469" w:rsidP="001E24F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776371AB" w14:textId="1D6FDFB4" w:rsidR="00507469" w:rsidRPr="001E24F4" w:rsidRDefault="00507469" w:rsidP="001E24F4">
            <w:pPr>
              <w:pStyle w:val="Akapitzlist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1E24F4">
              <w:rPr>
                <w:b/>
                <w:bCs/>
                <w:sz w:val="20"/>
                <w:szCs w:val="20"/>
              </w:rPr>
              <w:t>Modyfikacja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dawki</w:t>
            </w:r>
          </w:p>
          <w:p w14:paraId="6DD0819F" w14:textId="0CDC5304" w:rsidR="00AE39F6" w:rsidRPr="001E24F4" w:rsidRDefault="00507469" w:rsidP="001E24F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Modyfikacja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dawkowania</w:t>
            </w:r>
            <w:r w:rsidR="001E24F4">
              <w:rPr>
                <w:sz w:val="20"/>
                <w:szCs w:val="20"/>
              </w:rPr>
              <w:t xml:space="preserve"> </w:t>
            </w:r>
            <w:r w:rsidR="00256B69" w:rsidRPr="001E24F4">
              <w:rPr>
                <w:sz w:val="20"/>
                <w:szCs w:val="20"/>
              </w:rPr>
              <w:t>zgodnie</w:t>
            </w:r>
            <w:r w:rsidR="001E24F4">
              <w:rPr>
                <w:sz w:val="20"/>
                <w:szCs w:val="20"/>
              </w:rPr>
              <w:t xml:space="preserve"> </w:t>
            </w:r>
            <w:r w:rsidR="00256B69" w:rsidRPr="001E24F4">
              <w:rPr>
                <w:sz w:val="20"/>
                <w:szCs w:val="20"/>
              </w:rPr>
              <w:t>z</w:t>
            </w:r>
            <w:r w:rsidR="001E24F4">
              <w:rPr>
                <w:sz w:val="20"/>
                <w:szCs w:val="20"/>
              </w:rPr>
              <w:t xml:space="preserve"> </w:t>
            </w:r>
            <w:r w:rsidR="00256B69" w:rsidRPr="001E24F4">
              <w:rPr>
                <w:sz w:val="20"/>
                <w:szCs w:val="20"/>
              </w:rPr>
              <w:t>zapisami</w:t>
            </w:r>
            <w:r w:rsidR="001E24F4">
              <w:rPr>
                <w:sz w:val="20"/>
                <w:szCs w:val="20"/>
              </w:rPr>
              <w:t xml:space="preserve"> </w:t>
            </w:r>
            <w:r w:rsidR="00256B69" w:rsidRPr="001E24F4">
              <w:rPr>
                <w:sz w:val="20"/>
                <w:szCs w:val="20"/>
              </w:rPr>
              <w:t>Charakterystyk</w:t>
            </w:r>
            <w:r w:rsidR="001E24F4">
              <w:rPr>
                <w:sz w:val="20"/>
                <w:szCs w:val="20"/>
              </w:rPr>
              <w:t xml:space="preserve"> </w:t>
            </w:r>
            <w:r w:rsidR="00256B69" w:rsidRPr="001E24F4">
              <w:rPr>
                <w:sz w:val="20"/>
                <w:szCs w:val="20"/>
              </w:rPr>
              <w:t>Produkt</w:t>
            </w:r>
            <w:r w:rsidR="00054506" w:rsidRPr="001E24F4">
              <w:rPr>
                <w:sz w:val="20"/>
                <w:szCs w:val="20"/>
              </w:rPr>
              <w:t>ów</w:t>
            </w:r>
            <w:r w:rsidR="001E24F4">
              <w:rPr>
                <w:sz w:val="20"/>
                <w:szCs w:val="20"/>
              </w:rPr>
              <w:t xml:space="preserve"> </w:t>
            </w:r>
            <w:r w:rsidR="00256B69" w:rsidRPr="001E24F4">
              <w:rPr>
                <w:sz w:val="20"/>
                <w:szCs w:val="20"/>
              </w:rPr>
              <w:t>Lecznicz</w:t>
            </w:r>
            <w:r w:rsidR="00054506" w:rsidRPr="001E24F4">
              <w:rPr>
                <w:sz w:val="20"/>
                <w:szCs w:val="20"/>
              </w:rPr>
              <w:t>ych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polatuzumabu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wedotyny,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bendamustyny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rytuksymabu.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9C139" w14:textId="39790439" w:rsidR="004F67EB" w:rsidRPr="001E24F4" w:rsidRDefault="004F67EB" w:rsidP="001E24F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1E24F4">
              <w:rPr>
                <w:b/>
                <w:bCs/>
                <w:sz w:val="20"/>
                <w:szCs w:val="20"/>
              </w:rPr>
              <w:t>Leczenie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chorych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na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chłoniaka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rozlanego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z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dużych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komórek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B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(DLBCL)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polatuzumabem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wedotyny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w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skojarzeniu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z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bendamustyną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i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rytuksymabem</w:t>
            </w:r>
          </w:p>
          <w:p w14:paraId="48ED0EFB" w14:textId="4E4DAF7F" w:rsidR="004F67EB" w:rsidRPr="001E24F4" w:rsidRDefault="004F67EB" w:rsidP="001E24F4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b/>
                <w:bCs/>
                <w:sz w:val="20"/>
                <w:szCs w:val="20"/>
              </w:rPr>
              <w:t>Badania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przy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kwalifikacji</w:t>
            </w:r>
          </w:p>
          <w:p w14:paraId="742918BF" w14:textId="55381645" w:rsidR="004F67EB" w:rsidRPr="001E24F4" w:rsidRDefault="004F67EB" w:rsidP="001E24F4">
            <w:pPr>
              <w:numPr>
                <w:ilvl w:val="2"/>
                <w:numId w:val="5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morfologia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krwi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obwodowej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wzorem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odsetkowym;</w:t>
            </w:r>
          </w:p>
          <w:p w14:paraId="1BC46C2E" w14:textId="746A8DB5" w:rsidR="004F67EB" w:rsidRPr="001E24F4" w:rsidRDefault="004F67EB" w:rsidP="001E24F4">
            <w:pPr>
              <w:pStyle w:val="Akapitzlist"/>
              <w:numPr>
                <w:ilvl w:val="2"/>
                <w:numId w:val="5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ocena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wydolności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nerek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wątroby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(stężenie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kreatyniny,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eGFR,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kwasu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moczowego,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AST,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ALT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bilirubiny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całkowitej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surowicy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krwi);</w:t>
            </w:r>
            <w:r w:rsidR="001E24F4">
              <w:rPr>
                <w:sz w:val="20"/>
                <w:szCs w:val="20"/>
              </w:rPr>
              <w:t xml:space="preserve"> </w:t>
            </w:r>
          </w:p>
          <w:p w14:paraId="07D81E59" w14:textId="24967BFC" w:rsidR="004F67EB" w:rsidRPr="001E24F4" w:rsidRDefault="004F67EB" w:rsidP="001E24F4">
            <w:pPr>
              <w:numPr>
                <w:ilvl w:val="2"/>
                <w:numId w:val="5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badania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obrazowe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pozwalające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ocenę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stopnia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zaawansowania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choroby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(TK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PET-TK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NMR);</w:t>
            </w:r>
          </w:p>
          <w:p w14:paraId="150CC345" w14:textId="0FCEC608" w:rsidR="004F67EB" w:rsidRPr="001E24F4" w:rsidRDefault="004F67EB" w:rsidP="001E24F4">
            <w:pPr>
              <w:numPr>
                <w:ilvl w:val="2"/>
                <w:numId w:val="5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badania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przesiewowe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kierunku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WZW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typu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B,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zawierające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najmniej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testy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kierunku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HbsAg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HbcAb,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przypadku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dodatniego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wyniku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HbsAg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HBcAb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badanie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HBV-DNA;</w:t>
            </w:r>
            <w:r w:rsidR="001E24F4">
              <w:rPr>
                <w:sz w:val="20"/>
                <w:szCs w:val="20"/>
              </w:rPr>
              <w:t xml:space="preserve"> </w:t>
            </w:r>
          </w:p>
          <w:p w14:paraId="25ABDF99" w14:textId="49BF91B0" w:rsidR="004F67EB" w:rsidRPr="001E24F4" w:rsidRDefault="004F67EB" w:rsidP="001E24F4">
            <w:pPr>
              <w:numPr>
                <w:ilvl w:val="2"/>
                <w:numId w:val="5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badania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przesiewowe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kierunku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WZW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typu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zawierające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najmniej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oznaczenie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przeciwciał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anty-HCV,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przypadku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dodatniego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wyniku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badania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obecność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przeciwciał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anty-HCV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badanie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HCV-RNA;</w:t>
            </w:r>
            <w:r w:rsidR="001E24F4">
              <w:rPr>
                <w:sz w:val="20"/>
                <w:szCs w:val="20"/>
              </w:rPr>
              <w:t xml:space="preserve"> </w:t>
            </w:r>
          </w:p>
          <w:p w14:paraId="6E8E160A" w14:textId="0BA7AEAA" w:rsidR="004F67EB" w:rsidRPr="001E24F4" w:rsidRDefault="004F67EB" w:rsidP="001E24F4">
            <w:pPr>
              <w:numPr>
                <w:ilvl w:val="2"/>
                <w:numId w:val="5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test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ciążowy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kobiet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wieku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rozrodczym</w:t>
            </w:r>
            <w:r w:rsidR="00F06412" w:rsidRPr="001E24F4">
              <w:rPr>
                <w:sz w:val="20"/>
                <w:szCs w:val="20"/>
              </w:rPr>
              <w:t>.</w:t>
            </w:r>
          </w:p>
          <w:p w14:paraId="58A5AC50" w14:textId="11413C7E" w:rsidR="004F67EB" w:rsidRPr="001E24F4" w:rsidRDefault="0081686E" w:rsidP="001E24F4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przypadku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lokalizacji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pozawęzłowej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chłoniaka</w:t>
            </w:r>
            <w:r w:rsidR="001E24F4">
              <w:rPr>
                <w:sz w:val="20"/>
                <w:szCs w:val="20"/>
              </w:rPr>
              <w:t xml:space="preserve"> </w:t>
            </w:r>
            <w:r w:rsidR="00FE2193" w:rsidRPr="001E24F4">
              <w:rPr>
                <w:sz w:val="20"/>
                <w:szCs w:val="20"/>
              </w:rPr>
              <w:t>wykonanie</w:t>
            </w:r>
            <w:r w:rsidR="001E24F4">
              <w:rPr>
                <w:sz w:val="20"/>
                <w:szCs w:val="20"/>
              </w:rPr>
              <w:t xml:space="preserve"> </w:t>
            </w:r>
            <w:r w:rsidR="00FE2193" w:rsidRPr="001E24F4">
              <w:rPr>
                <w:sz w:val="20"/>
                <w:szCs w:val="20"/>
              </w:rPr>
              <w:t>innych</w:t>
            </w:r>
            <w:r w:rsidR="001E24F4">
              <w:rPr>
                <w:sz w:val="20"/>
                <w:szCs w:val="20"/>
              </w:rPr>
              <w:t xml:space="preserve"> </w:t>
            </w:r>
            <w:r w:rsidR="00D929CC" w:rsidRPr="001E24F4">
              <w:rPr>
                <w:sz w:val="20"/>
                <w:szCs w:val="20"/>
              </w:rPr>
              <w:t>badań</w:t>
            </w:r>
            <w:r w:rsidR="001E24F4">
              <w:rPr>
                <w:sz w:val="20"/>
                <w:szCs w:val="20"/>
              </w:rPr>
              <w:t xml:space="preserve"> </w:t>
            </w:r>
            <w:r w:rsidR="00D929CC" w:rsidRPr="001E24F4">
              <w:rPr>
                <w:sz w:val="20"/>
                <w:szCs w:val="20"/>
              </w:rPr>
              <w:t>oceniających</w:t>
            </w:r>
            <w:r w:rsidR="001E24F4">
              <w:rPr>
                <w:sz w:val="20"/>
                <w:szCs w:val="20"/>
              </w:rPr>
              <w:t xml:space="preserve"> </w:t>
            </w:r>
            <w:r w:rsidR="00D929CC" w:rsidRPr="001E24F4">
              <w:rPr>
                <w:sz w:val="20"/>
                <w:szCs w:val="20"/>
              </w:rPr>
              <w:t>zaawansowanie</w:t>
            </w:r>
            <w:r w:rsidR="001E24F4">
              <w:rPr>
                <w:sz w:val="20"/>
                <w:szCs w:val="20"/>
              </w:rPr>
              <w:t xml:space="preserve"> </w:t>
            </w:r>
            <w:r w:rsidR="00D929CC" w:rsidRPr="001E24F4">
              <w:rPr>
                <w:sz w:val="20"/>
                <w:szCs w:val="20"/>
              </w:rPr>
              <w:t>chłoniaka</w:t>
            </w:r>
            <w:r w:rsidR="001E24F4">
              <w:rPr>
                <w:sz w:val="20"/>
                <w:szCs w:val="20"/>
              </w:rPr>
              <w:t xml:space="preserve"> </w:t>
            </w:r>
            <w:r w:rsidR="00FE2193" w:rsidRPr="001E24F4">
              <w:rPr>
                <w:sz w:val="20"/>
                <w:szCs w:val="20"/>
              </w:rPr>
              <w:t>oprócz</w:t>
            </w:r>
            <w:r w:rsidR="001E24F4">
              <w:rPr>
                <w:sz w:val="20"/>
                <w:szCs w:val="20"/>
              </w:rPr>
              <w:t xml:space="preserve"> </w:t>
            </w:r>
            <w:r w:rsidR="00FE2193" w:rsidRPr="001E24F4">
              <w:rPr>
                <w:sz w:val="20"/>
                <w:szCs w:val="20"/>
              </w:rPr>
              <w:t>badań</w:t>
            </w:r>
            <w:r w:rsidR="001E24F4">
              <w:rPr>
                <w:sz w:val="20"/>
                <w:szCs w:val="20"/>
              </w:rPr>
              <w:t xml:space="preserve"> </w:t>
            </w:r>
            <w:r w:rsidR="00FE2193" w:rsidRPr="001E24F4">
              <w:rPr>
                <w:sz w:val="20"/>
                <w:szCs w:val="20"/>
              </w:rPr>
              <w:t>w/w</w:t>
            </w:r>
            <w:r w:rsidR="001E24F4">
              <w:rPr>
                <w:sz w:val="20"/>
                <w:szCs w:val="20"/>
              </w:rPr>
              <w:t xml:space="preserve"> </w:t>
            </w:r>
            <w:r w:rsidR="00FE2193" w:rsidRPr="001E24F4">
              <w:rPr>
                <w:sz w:val="20"/>
                <w:szCs w:val="20"/>
              </w:rPr>
              <w:t>-</w:t>
            </w:r>
            <w:r w:rsidR="001E24F4">
              <w:rPr>
                <w:sz w:val="20"/>
                <w:szCs w:val="20"/>
              </w:rPr>
              <w:t xml:space="preserve"> </w:t>
            </w:r>
            <w:r w:rsidR="00D929CC" w:rsidRPr="001E24F4">
              <w:rPr>
                <w:sz w:val="20"/>
                <w:szCs w:val="20"/>
              </w:rPr>
              <w:t>do</w:t>
            </w:r>
            <w:r w:rsidR="001E24F4">
              <w:rPr>
                <w:sz w:val="20"/>
                <w:szCs w:val="20"/>
              </w:rPr>
              <w:t xml:space="preserve"> </w:t>
            </w:r>
            <w:r w:rsidR="00D929CC" w:rsidRPr="001E24F4">
              <w:rPr>
                <w:sz w:val="20"/>
                <w:szCs w:val="20"/>
              </w:rPr>
              <w:t>decyzji</w:t>
            </w:r>
            <w:r w:rsidR="001E24F4">
              <w:rPr>
                <w:sz w:val="20"/>
                <w:szCs w:val="20"/>
              </w:rPr>
              <w:t xml:space="preserve"> </w:t>
            </w:r>
            <w:r w:rsidR="00D929CC" w:rsidRPr="001E24F4">
              <w:rPr>
                <w:sz w:val="20"/>
                <w:szCs w:val="20"/>
              </w:rPr>
              <w:t>lekarza</w:t>
            </w:r>
            <w:r w:rsidR="001E24F4">
              <w:rPr>
                <w:sz w:val="20"/>
                <w:szCs w:val="20"/>
              </w:rPr>
              <w:t xml:space="preserve"> </w:t>
            </w:r>
            <w:r w:rsidR="00D929CC" w:rsidRPr="001E24F4">
              <w:rPr>
                <w:sz w:val="20"/>
                <w:szCs w:val="20"/>
              </w:rPr>
              <w:t>prowadzącego</w:t>
            </w:r>
            <w:r w:rsidR="001E24F4">
              <w:rPr>
                <w:sz w:val="20"/>
                <w:szCs w:val="20"/>
              </w:rPr>
              <w:t xml:space="preserve"> </w:t>
            </w:r>
            <w:r w:rsidR="00D929CC" w:rsidRPr="001E24F4">
              <w:rPr>
                <w:sz w:val="20"/>
                <w:szCs w:val="20"/>
              </w:rPr>
              <w:t>(badania</w:t>
            </w:r>
            <w:r w:rsidR="001E24F4">
              <w:rPr>
                <w:sz w:val="20"/>
                <w:szCs w:val="20"/>
              </w:rPr>
              <w:t xml:space="preserve"> </w:t>
            </w:r>
            <w:r w:rsidR="00D929CC" w:rsidRPr="001E24F4">
              <w:rPr>
                <w:sz w:val="20"/>
                <w:szCs w:val="20"/>
              </w:rPr>
              <w:t>endoskopowe</w:t>
            </w:r>
            <w:r w:rsidR="001E24F4">
              <w:rPr>
                <w:sz w:val="20"/>
                <w:szCs w:val="20"/>
              </w:rPr>
              <w:t xml:space="preserve"> </w:t>
            </w:r>
            <w:r w:rsidR="00D929CC" w:rsidRPr="001E24F4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="00D929CC" w:rsidRPr="001E24F4">
              <w:rPr>
                <w:sz w:val="20"/>
                <w:szCs w:val="20"/>
              </w:rPr>
              <w:t>inne)</w:t>
            </w:r>
            <w:r w:rsidR="00F06412" w:rsidRPr="001E24F4">
              <w:rPr>
                <w:sz w:val="20"/>
                <w:szCs w:val="20"/>
              </w:rPr>
              <w:t>.</w:t>
            </w:r>
          </w:p>
          <w:p w14:paraId="1A5BA71A" w14:textId="77777777" w:rsidR="00F06412" w:rsidRPr="001E24F4" w:rsidRDefault="00F06412" w:rsidP="001E24F4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66D060D6" w14:textId="1DF29448" w:rsidR="004F67EB" w:rsidRPr="001E24F4" w:rsidRDefault="004F67EB" w:rsidP="001E24F4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b/>
                <w:bCs/>
                <w:sz w:val="20"/>
                <w:szCs w:val="20"/>
              </w:rPr>
              <w:t>Monitorowanie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leczenia</w:t>
            </w:r>
          </w:p>
          <w:p w14:paraId="631FE189" w14:textId="75745B57" w:rsidR="004F67EB" w:rsidRPr="001E24F4" w:rsidRDefault="004F67EB" w:rsidP="001E24F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Badania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przeprowadzane:</w:t>
            </w:r>
          </w:p>
          <w:p w14:paraId="591C1EE8" w14:textId="2957426F" w:rsidR="004F67EB" w:rsidRPr="001E24F4" w:rsidRDefault="004F67EB" w:rsidP="001E24F4">
            <w:pPr>
              <w:pStyle w:val="Akapitzlist"/>
              <w:numPr>
                <w:ilvl w:val="2"/>
                <w:numId w:val="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przed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każdym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podaniem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leku:</w:t>
            </w:r>
          </w:p>
          <w:p w14:paraId="7AD8BA9E" w14:textId="3160E9EF" w:rsidR="00F06412" w:rsidRPr="001E24F4" w:rsidRDefault="000038D2" w:rsidP="001E24F4">
            <w:pPr>
              <w:pStyle w:val="Akapitzlist"/>
              <w:numPr>
                <w:ilvl w:val="4"/>
                <w:numId w:val="5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morfologia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krwi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obwodowej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wzorem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odsetkowym</w:t>
            </w:r>
            <w:r w:rsidR="00823E1D" w:rsidRPr="001E24F4">
              <w:rPr>
                <w:sz w:val="20"/>
                <w:szCs w:val="20"/>
              </w:rPr>
              <w:t>,</w:t>
            </w:r>
          </w:p>
          <w:p w14:paraId="44B492ED" w14:textId="532DDA2C" w:rsidR="00755D68" w:rsidRPr="001E24F4" w:rsidRDefault="00755D68" w:rsidP="001E24F4">
            <w:pPr>
              <w:pStyle w:val="Akapitzlist"/>
              <w:numPr>
                <w:ilvl w:val="4"/>
                <w:numId w:val="5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ocena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wydolności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nerek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wątroby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(stężenie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kreatyniny,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kwasu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moczowego,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AST,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ALT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bilirubiny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całkowitej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surowicy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krwi</w:t>
            </w:r>
            <w:r w:rsidR="000F1683" w:rsidRPr="001E24F4">
              <w:rPr>
                <w:sz w:val="20"/>
                <w:szCs w:val="20"/>
              </w:rPr>
              <w:t>),</w:t>
            </w:r>
          </w:p>
          <w:p w14:paraId="085236E0" w14:textId="0F7FA46C" w:rsidR="006E6740" w:rsidRPr="001E24F4" w:rsidRDefault="006E6740" w:rsidP="001E24F4">
            <w:pPr>
              <w:pStyle w:val="Akapitzlist"/>
              <w:numPr>
                <w:ilvl w:val="4"/>
                <w:numId w:val="5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lastRenderedPageBreak/>
              <w:t>elektrolity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(stężenie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sodu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potasu).</w:t>
            </w:r>
          </w:p>
          <w:p w14:paraId="72BD8131" w14:textId="5110DE0C" w:rsidR="00BF0462" w:rsidRPr="001E24F4" w:rsidRDefault="000038D2" w:rsidP="001E24F4">
            <w:pPr>
              <w:pStyle w:val="Akapitzlist"/>
              <w:numPr>
                <w:ilvl w:val="2"/>
                <w:numId w:val="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po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3.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cyklach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leczenia,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zakończeniu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leczenia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dowolnym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momencie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przypadku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podejrzenia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progresji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choroby:</w:t>
            </w:r>
          </w:p>
          <w:p w14:paraId="7309A1AD" w14:textId="0A5DD9E4" w:rsidR="000038D2" w:rsidRPr="001E24F4" w:rsidRDefault="000038D2" w:rsidP="001E24F4">
            <w:pPr>
              <w:pStyle w:val="Akapitzlist"/>
              <w:numPr>
                <w:ilvl w:val="4"/>
                <w:numId w:val="5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odpowiednie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badania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obrazowe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(TK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PET-TK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NMR).</w:t>
            </w:r>
          </w:p>
        </w:tc>
      </w:tr>
      <w:tr w:rsidR="00E83F1B" w:rsidRPr="007E3BCE" w14:paraId="69F522B6" w14:textId="77777777" w:rsidTr="009F3137">
        <w:trPr>
          <w:trHeight w:val="20"/>
        </w:trPr>
        <w:tc>
          <w:tcPr>
            <w:tcW w:w="1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5D2CB" w14:textId="1E2E79B1" w:rsidR="006075F6" w:rsidRPr="001E24F4" w:rsidRDefault="006075F6" w:rsidP="001E24F4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1E24F4">
              <w:rPr>
                <w:b/>
                <w:bCs/>
                <w:sz w:val="20"/>
                <w:szCs w:val="20"/>
              </w:rPr>
              <w:lastRenderedPageBreak/>
              <w:t>Leczenie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chorych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na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chłoniaki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z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dużych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komórek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B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aksykabtagenem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cyloleucelu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="00755D68" w:rsidRPr="001E24F4">
              <w:rPr>
                <w:b/>
                <w:bCs/>
                <w:sz w:val="20"/>
                <w:szCs w:val="20"/>
              </w:rPr>
              <w:t>albo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tisagenlecleucelem</w:t>
            </w:r>
          </w:p>
          <w:p w14:paraId="094CB643" w14:textId="132E1FEB" w:rsidR="006075F6" w:rsidRPr="001E24F4" w:rsidRDefault="006075F6" w:rsidP="001E24F4">
            <w:pPr>
              <w:pStyle w:val="Akapitzlist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b/>
                <w:bCs/>
                <w:sz w:val="20"/>
                <w:szCs w:val="20"/>
              </w:rPr>
              <w:t>Kryteria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kwalifikacji</w:t>
            </w:r>
          </w:p>
          <w:p w14:paraId="319ACDCD" w14:textId="2B634971" w:rsidR="00067372" w:rsidRPr="001E24F4" w:rsidRDefault="00067372" w:rsidP="001E24F4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Kwalifikacji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świadczeniobiorców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terapii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dokonuje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Zespół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Koordynacyjny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ds.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CAR-T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powoływany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przez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Prezesa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Narodowego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Funduszu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Zdrowia.</w:t>
            </w:r>
          </w:p>
          <w:p w14:paraId="1AD60B50" w14:textId="72308BB9" w:rsidR="00067372" w:rsidRPr="001E24F4" w:rsidRDefault="00067372" w:rsidP="001E24F4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lastRenderedPageBreak/>
              <w:t>Kwalifikacja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programu</w:t>
            </w:r>
            <w:r w:rsidR="001E24F4">
              <w:rPr>
                <w:sz w:val="20"/>
                <w:szCs w:val="20"/>
              </w:rPr>
              <w:t xml:space="preserve"> </w:t>
            </w:r>
            <w:r w:rsidR="00C45571" w:rsidRPr="001E24F4">
              <w:rPr>
                <w:sz w:val="20"/>
                <w:szCs w:val="20"/>
              </w:rPr>
              <w:t>oraz</w:t>
            </w:r>
            <w:r w:rsidR="001E24F4">
              <w:rPr>
                <w:sz w:val="20"/>
                <w:szCs w:val="20"/>
              </w:rPr>
              <w:t xml:space="preserve"> </w:t>
            </w:r>
            <w:r w:rsidR="00C45571" w:rsidRPr="001E24F4">
              <w:rPr>
                <w:sz w:val="20"/>
                <w:szCs w:val="20"/>
              </w:rPr>
              <w:t>weryfikacja</w:t>
            </w:r>
            <w:r w:rsidR="001E24F4">
              <w:rPr>
                <w:sz w:val="20"/>
                <w:szCs w:val="20"/>
              </w:rPr>
              <w:t xml:space="preserve"> </w:t>
            </w:r>
            <w:r w:rsidR="00C45571" w:rsidRPr="001E24F4">
              <w:rPr>
                <w:sz w:val="20"/>
                <w:szCs w:val="20"/>
              </w:rPr>
              <w:t>skuteczności</w:t>
            </w:r>
            <w:r w:rsidR="001E24F4">
              <w:rPr>
                <w:sz w:val="20"/>
                <w:szCs w:val="20"/>
              </w:rPr>
              <w:t xml:space="preserve"> </w:t>
            </w:r>
            <w:r w:rsidR="00C45571" w:rsidRPr="001E24F4">
              <w:rPr>
                <w:sz w:val="20"/>
                <w:szCs w:val="20"/>
              </w:rPr>
              <w:t>leczenia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odbywa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się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oparciu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ocenę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stanu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klinicznego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pacjenta.</w:t>
            </w:r>
          </w:p>
          <w:p w14:paraId="511E5E42" w14:textId="36A156C2" w:rsidR="00067372" w:rsidRPr="001E24F4" w:rsidRDefault="00067372" w:rsidP="001E24F4">
            <w:pPr>
              <w:pStyle w:val="Akapitzlist"/>
              <w:numPr>
                <w:ilvl w:val="3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potwierdzony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histologicznie:</w:t>
            </w:r>
          </w:p>
          <w:p w14:paraId="6C123607" w14:textId="7B1A26A3" w:rsidR="00955D9E" w:rsidRPr="001E24F4" w:rsidRDefault="00067372" w:rsidP="001E24F4">
            <w:pPr>
              <w:pStyle w:val="Akapitzlist"/>
              <w:numPr>
                <w:ilvl w:val="4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chłoniak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rozlany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dużych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komórek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B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(DLBCL)</w:t>
            </w:r>
            <w:r w:rsidR="001E24F4">
              <w:rPr>
                <w:sz w:val="20"/>
                <w:szCs w:val="20"/>
              </w:rPr>
              <w:t xml:space="preserve"> </w:t>
            </w:r>
            <w:r w:rsidR="00334BFA" w:rsidRPr="001E24F4">
              <w:rPr>
                <w:sz w:val="20"/>
                <w:szCs w:val="20"/>
              </w:rPr>
              <w:t>albo</w:t>
            </w:r>
            <w:r w:rsidR="001E24F4">
              <w:rPr>
                <w:sz w:val="20"/>
                <w:szCs w:val="20"/>
              </w:rPr>
              <w:t xml:space="preserve"> </w:t>
            </w:r>
            <w:r w:rsidR="00334BFA" w:rsidRPr="001E24F4">
              <w:rPr>
                <w:sz w:val="20"/>
                <w:szCs w:val="20"/>
              </w:rPr>
              <w:t>chłoniak</w:t>
            </w:r>
            <w:r w:rsidR="001E24F4">
              <w:rPr>
                <w:sz w:val="20"/>
                <w:szCs w:val="20"/>
              </w:rPr>
              <w:t xml:space="preserve"> </w:t>
            </w:r>
            <w:r w:rsidR="00334BFA" w:rsidRPr="001E24F4">
              <w:rPr>
                <w:sz w:val="20"/>
                <w:szCs w:val="20"/>
              </w:rPr>
              <w:t>z</w:t>
            </w:r>
            <w:r w:rsidR="001E24F4">
              <w:rPr>
                <w:sz w:val="20"/>
                <w:szCs w:val="20"/>
              </w:rPr>
              <w:t xml:space="preserve"> </w:t>
            </w:r>
            <w:r w:rsidR="00334BFA" w:rsidRPr="001E24F4">
              <w:rPr>
                <w:sz w:val="20"/>
                <w:szCs w:val="20"/>
              </w:rPr>
              <w:t>komórek</w:t>
            </w:r>
            <w:r w:rsidR="001E24F4">
              <w:rPr>
                <w:sz w:val="20"/>
                <w:szCs w:val="20"/>
              </w:rPr>
              <w:t xml:space="preserve"> </w:t>
            </w:r>
            <w:r w:rsidR="00334BFA" w:rsidRPr="001E24F4">
              <w:rPr>
                <w:sz w:val="20"/>
                <w:szCs w:val="20"/>
              </w:rPr>
              <w:t>B</w:t>
            </w:r>
            <w:r w:rsidR="001E24F4">
              <w:rPr>
                <w:sz w:val="20"/>
                <w:szCs w:val="20"/>
              </w:rPr>
              <w:t xml:space="preserve"> </w:t>
            </w:r>
            <w:r w:rsidR="00334BFA" w:rsidRPr="001E24F4">
              <w:rPr>
                <w:sz w:val="20"/>
                <w:szCs w:val="20"/>
              </w:rPr>
              <w:t>o</w:t>
            </w:r>
            <w:r w:rsidR="001E24F4">
              <w:rPr>
                <w:sz w:val="20"/>
                <w:szCs w:val="20"/>
              </w:rPr>
              <w:t xml:space="preserve"> </w:t>
            </w:r>
            <w:r w:rsidR="00334BFA" w:rsidRPr="001E24F4">
              <w:rPr>
                <w:sz w:val="20"/>
                <w:szCs w:val="20"/>
              </w:rPr>
              <w:t>wysokim</w:t>
            </w:r>
            <w:r w:rsidR="001E24F4">
              <w:rPr>
                <w:sz w:val="20"/>
                <w:szCs w:val="20"/>
              </w:rPr>
              <w:t xml:space="preserve"> </w:t>
            </w:r>
            <w:r w:rsidR="00334BFA" w:rsidRPr="001E24F4">
              <w:rPr>
                <w:sz w:val="20"/>
                <w:szCs w:val="20"/>
              </w:rPr>
              <w:t>stopniu</w:t>
            </w:r>
            <w:r w:rsidR="001E24F4">
              <w:rPr>
                <w:sz w:val="20"/>
                <w:szCs w:val="20"/>
              </w:rPr>
              <w:t xml:space="preserve"> </w:t>
            </w:r>
            <w:r w:rsidR="00334BFA" w:rsidRPr="001E24F4">
              <w:rPr>
                <w:sz w:val="20"/>
                <w:szCs w:val="20"/>
              </w:rPr>
              <w:t>złośliwości</w:t>
            </w:r>
            <w:r w:rsidR="001E24F4">
              <w:rPr>
                <w:sz w:val="20"/>
                <w:szCs w:val="20"/>
              </w:rPr>
              <w:t xml:space="preserve"> </w:t>
            </w:r>
            <w:r w:rsidR="00334BFA" w:rsidRPr="001E24F4">
              <w:rPr>
                <w:sz w:val="20"/>
                <w:szCs w:val="20"/>
              </w:rPr>
              <w:t>(HGBCL)</w:t>
            </w:r>
            <w:r w:rsidR="001E24F4">
              <w:rPr>
                <w:sz w:val="20"/>
                <w:szCs w:val="20"/>
              </w:rPr>
              <w:t xml:space="preserve"> </w:t>
            </w:r>
            <w:r w:rsidR="00334BFA" w:rsidRPr="001E24F4">
              <w:rPr>
                <w:sz w:val="20"/>
                <w:szCs w:val="20"/>
              </w:rPr>
              <w:t>albo</w:t>
            </w:r>
            <w:r w:rsidR="001E24F4">
              <w:rPr>
                <w:sz w:val="20"/>
                <w:szCs w:val="20"/>
              </w:rPr>
              <w:t xml:space="preserve"> </w:t>
            </w:r>
            <w:r w:rsidR="00334BFA" w:rsidRPr="001E24F4">
              <w:rPr>
                <w:sz w:val="20"/>
                <w:szCs w:val="20"/>
              </w:rPr>
              <w:t>stransformowany</w:t>
            </w:r>
            <w:r w:rsidR="001E24F4">
              <w:rPr>
                <w:sz w:val="20"/>
                <w:szCs w:val="20"/>
              </w:rPr>
              <w:t xml:space="preserve"> </w:t>
            </w:r>
            <w:r w:rsidR="00334BFA"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="00334BFA" w:rsidRPr="001E24F4">
              <w:rPr>
                <w:sz w:val="20"/>
                <w:szCs w:val="20"/>
              </w:rPr>
              <w:t>DLBCL</w:t>
            </w:r>
            <w:r w:rsidR="001E24F4">
              <w:rPr>
                <w:sz w:val="20"/>
                <w:szCs w:val="20"/>
              </w:rPr>
              <w:t xml:space="preserve"> </w:t>
            </w:r>
            <w:r w:rsidR="00334BFA" w:rsidRPr="001E24F4">
              <w:rPr>
                <w:sz w:val="20"/>
                <w:szCs w:val="20"/>
              </w:rPr>
              <w:t>chłoniak</w:t>
            </w:r>
            <w:r w:rsidR="001E24F4">
              <w:rPr>
                <w:sz w:val="20"/>
                <w:szCs w:val="20"/>
              </w:rPr>
              <w:t xml:space="preserve"> </w:t>
            </w:r>
            <w:r w:rsidR="00334BFA" w:rsidRPr="001E24F4">
              <w:rPr>
                <w:sz w:val="20"/>
                <w:szCs w:val="20"/>
              </w:rPr>
              <w:t>grudkowy</w:t>
            </w:r>
            <w:r w:rsidR="001E24F4">
              <w:rPr>
                <w:sz w:val="20"/>
                <w:szCs w:val="20"/>
              </w:rPr>
              <w:t xml:space="preserve"> </w:t>
            </w:r>
            <w:r w:rsidR="00334BFA" w:rsidRPr="001E24F4">
              <w:rPr>
                <w:sz w:val="20"/>
                <w:szCs w:val="20"/>
              </w:rPr>
              <w:t>(TFL)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–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dotyczy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leczenia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aksykabtagenem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cyloleucelu</w:t>
            </w:r>
            <w:r w:rsidR="001E24F4">
              <w:rPr>
                <w:sz w:val="20"/>
                <w:szCs w:val="20"/>
              </w:rPr>
              <w:t xml:space="preserve"> </w:t>
            </w:r>
            <w:r w:rsidR="00755D68" w:rsidRPr="001E24F4">
              <w:rPr>
                <w:sz w:val="20"/>
                <w:szCs w:val="20"/>
              </w:rPr>
              <w:t>albo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tisagenlecleucelem,</w:t>
            </w:r>
            <w:r w:rsidR="001E24F4">
              <w:rPr>
                <w:sz w:val="20"/>
                <w:szCs w:val="20"/>
              </w:rPr>
              <w:t xml:space="preserve"> </w:t>
            </w:r>
          </w:p>
          <w:p w14:paraId="6989ADDE" w14:textId="6D8D9822" w:rsidR="00067372" w:rsidRPr="001E24F4" w:rsidRDefault="00067372" w:rsidP="001E24F4">
            <w:pPr>
              <w:pStyle w:val="Akapitzlist"/>
              <w:spacing w:after="60" w:line="276" w:lineRule="auto"/>
              <w:ind w:left="680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albo</w:t>
            </w:r>
          </w:p>
          <w:p w14:paraId="5B269243" w14:textId="34067FA2" w:rsidR="00067372" w:rsidRPr="001E24F4" w:rsidRDefault="00067372" w:rsidP="001E24F4">
            <w:pPr>
              <w:pStyle w:val="Akapitzlist"/>
              <w:numPr>
                <w:ilvl w:val="4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pierwotny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chłoniak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śródpiersia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dużych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komórek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B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(PMBCL)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–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dotyczy</w:t>
            </w:r>
            <w:r w:rsidR="001E24F4">
              <w:rPr>
                <w:sz w:val="20"/>
                <w:szCs w:val="20"/>
              </w:rPr>
              <w:t xml:space="preserve"> </w:t>
            </w:r>
            <w:r w:rsidR="00B7438E" w:rsidRPr="001E24F4">
              <w:rPr>
                <w:sz w:val="20"/>
                <w:szCs w:val="20"/>
              </w:rPr>
              <w:t>leczenia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wyłącznie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aksykabtagenem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cyloleucelu;</w:t>
            </w:r>
          </w:p>
          <w:p w14:paraId="512DE498" w14:textId="334BAD73" w:rsidR="00013022" w:rsidRPr="001E24F4" w:rsidRDefault="00067372" w:rsidP="001E24F4">
            <w:pPr>
              <w:pStyle w:val="Akapitzlist"/>
              <w:numPr>
                <w:ilvl w:val="3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wiek</w:t>
            </w:r>
            <w:r w:rsidR="001E24F4">
              <w:rPr>
                <w:sz w:val="20"/>
                <w:szCs w:val="20"/>
              </w:rPr>
              <w:t xml:space="preserve"> </w:t>
            </w:r>
            <w:r w:rsidR="00013022" w:rsidRPr="001E24F4">
              <w:rPr>
                <w:sz w:val="20"/>
                <w:szCs w:val="20"/>
              </w:rPr>
              <w:t>≥</w:t>
            </w:r>
            <w:r w:rsidR="001E24F4">
              <w:rPr>
                <w:sz w:val="20"/>
                <w:szCs w:val="20"/>
              </w:rPr>
              <w:t xml:space="preserve"> </w:t>
            </w:r>
            <w:r w:rsidR="00013022" w:rsidRPr="001E24F4">
              <w:rPr>
                <w:sz w:val="20"/>
                <w:szCs w:val="20"/>
              </w:rPr>
              <w:t>18</w:t>
            </w:r>
            <w:r w:rsidR="001E24F4">
              <w:rPr>
                <w:sz w:val="20"/>
                <w:szCs w:val="20"/>
              </w:rPr>
              <w:t xml:space="preserve"> </w:t>
            </w:r>
            <w:r w:rsidR="00013022" w:rsidRPr="001E24F4">
              <w:rPr>
                <w:sz w:val="20"/>
                <w:szCs w:val="20"/>
              </w:rPr>
              <w:t>rok</w:t>
            </w:r>
            <w:r w:rsidR="001E24F4">
              <w:rPr>
                <w:sz w:val="20"/>
                <w:szCs w:val="20"/>
              </w:rPr>
              <w:t xml:space="preserve"> </w:t>
            </w:r>
            <w:r w:rsidR="00013022" w:rsidRPr="001E24F4">
              <w:rPr>
                <w:sz w:val="20"/>
                <w:szCs w:val="20"/>
              </w:rPr>
              <w:t>życia;</w:t>
            </w:r>
          </w:p>
          <w:p w14:paraId="2FF6AA80" w14:textId="2A4860C3" w:rsidR="00013022" w:rsidRPr="001E24F4" w:rsidRDefault="00067372" w:rsidP="001E24F4">
            <w:pPr>
              <w:pStyle w:val="Akapitzlist"/>
              <w:numPr>
                <w:ilvl w:val="3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stan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sprawności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według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ECOG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0-1;</w:t>
            </w:r>
            <w:r w:rsidR="001E24F4">
              <w:rPr>
                <w:sz w:val="20"/>
                <w:szCs w:val="20"/>
              </w:rPr>
              <w:t xml:space="preserve"> </w:t>
            </w:r>
            <w:r w:rsidR="00013022" w:rsidRPr="001E24F4">
              <w:rPr>
                <w:sz w:val="20"/>
                <w:szCs w:val="20"/>
              </w:rPr>
              <w:t>s</w:t>
            </w:r>
            <w:r w:rsidRPr="001E24F4">
              <w:rPr>
                <w:sz w:val="20"/>
                <w:szCs w:val="20"/>
              </w:rPr>
              <w:t>tan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zdrowia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chorego</w:t>
            </w:r>
            <w:r w:rsidR="001E24F4">
              <w:rPr>
                <w:sz w:val="20"/>
                <w:szCs w:val="20"/>
              </w:rPr>
              <w:t xml:space="preserve"> </w:t>
            </w:r>
            <w:r w:rsidR="00013022" w:rsidRPr="001E24F4">
              <w:rPr>
                <w:sz w:val="20"/>
                <w:szCs w:val="20"/>
              </w:rPr>
              <w:t>powinien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ocenie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lekarza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prowadzącego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rokować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przeżycie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najmniej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3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miesiąc</w:t>
            </w:r>
            <w:r w:rsidR="00013022" w:rsidRPr="001E24F4">
              <w:rPr>
                <w:sz w:val="20"/>
                <w:szCs w:val="20"/>
              </w:rPr>
              <w:t>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bez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zastosowania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terapii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CAR-T</w:t>
            </w:r>
            <w:r w:rsidR="00013022" w:rsidRPr="001E24F4">
              <w:rPr>
                <w:sz w:val="20"/>
                <w:szCs w:val="20"/>
              </w:rPr>
              <w:t>;</w:t>
            </w:r>
          </w:p>
          <w:p w14:paraId="5E37FDA2" w14:textId="5C9F86A6" w:rsidR="00013022" w:rsidRPr="001E24F4" w:rsidRDefault="00067372" w:rsidP="001E24F4">
            <w:pPr>
              <w:pStyle w:val="Akapitzlist"/>
              <w:numPr>
                <w:ilvl w:val="3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udokumentowane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niepowodzenie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dwóch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więcej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linii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leczenia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systemowego;</w:t>
            </w:r>
          </w:p>
          <w:p w14:paraId="3A194ED5" w14:textId="5ABE74B6" w:rsidR="00013022" w:rsidRPr="001E24F4" w:rsidRDefault="00067372" w:rsidP="001E24F4">
            <w:pPr>
              <w:pStyle w:val="Akapitzlist"/>
              <w:numPr>
                <w:ilvl w:val="3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wcześniejsze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leczenie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zawierające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przeciwciało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anty-CD20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antracykliny;</w:t>
            </w:r>
          </w:p>
          <w:p w14:paraId="70E31900" w14:textId="01E0FAF6" w:rsidR="00013022" w:rsidRPr="001E24F4" w:rsidRDefault="00067372" w:rsidP="001E24F4">
            <w:pPr>
              <w:pStyle w:val="Akapitzlist"/>
              <w:numPr>
                <w:ilvl w:val="3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oporność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ostatnią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otrzymaną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linię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leczenia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wznowa/progresja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ciągu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12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miesięcy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od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przeszczepienia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autologicznych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komórek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krwiotwórczych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(auto</w:t>
            </w:r>
            <w:r w:rsidR="00013022" w:rsidRPr="001E24F4">
              <w:rPr>
                <w:sz w:val="20"/>
                <w:szCs w:val="20"/>
              </w:rPr>
              <w:t>-</w:t>
            </w:r>
            <w:r w:rsidRPr="001E24F4">
              <w:rPr>
                <w:sz w:val="20"/>
                <w:szCs w:val="20"/>
              </w:rPr>
              <w:t>HSCT);</w:t>
            </w:r>
          </w:p>
          <w:p w14:paraId="243CF777" w14:textId="69FFDC24" w:rsidR="001B012A" w:rsidRPr="001E24F4" w:rsidRDefault="00067372" w:rsidP="001E24F4">
            <w:pPr>
              <w:pStyle w:val="Akapitzlist"/>
              <w:numPr>
                <w:ilvl w:val="3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czynność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szpiku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kostnego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pozwalająca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ocenie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lekarza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prowadzącego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przeprowadzenie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terapii</w:t>
            </w:r>
            <w:r w:rsidR="001B012A" w:rsidRPr="001E24F4">
              <w:rPr>
                <w:sz w:val="20"/>
                <w:szCs w:val="20"/>
              </w:rPr>
              <w:t>;</w:t>
            </w:r>
          </w:p>
          <w:p w14:paraId="5F98B713" w14:textId="5765FED3" w:rsidR="00067372" w:rsidRPr="001E24F4" w:rsidRDefault="00067372" w:rsidP="001E24F4">
            <w:pPr>
              <w:pStyle w:val="Akapitzlist"/>
              <w:numPr>
                <w:ilvl w:val="3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czynność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serca,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wątroby,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nerek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oraz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płuc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pozwalająca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ocenie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lekarza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prowadzącego</w:t>
            </w:r>
            <w:r w:rsidR="001E24F4">
              <w:rPr>
                <w:sz w:val="20"/>
                <w:szCs w:val="20"/>
              </w:rPr>
              <w:t xml:space="preserve"> </w:t>
            </w:r>
            <w:r w:rsidR="00B7438E" w:rsidRPr="001E24F4">
              <w:rPr>
                <w:sz w:val="20"/>
                <w:szCs w:val="20"/>
              </w:rPr>
              <w:t>na</w:t>
            </w:r>
            <w:r w:rsidR="001E24F4">
              <w:rPr>
                <w:sz w:val="20"/>
                <w:szCs w:val="20"/>
              </w:rPr>
              <w:t xml:space="preserve"> </w:t>
            </w:r>
            <w:r w:rsidR="00B7438E" w:rsidRPr="001E24F4">
              <w:rPr>
                <w:sz w:val="20"/>
                <w:szCs w:val="20"/>
              </w:rPr>
              <w:t>przeprowadzenie</w:t>
            </w:r>
            <w:r w:rsidR="001E24F4">
              <w:rPr>
                <w:sz w:val="20"/>
                <w:szCs w:val="20"/>
              </w:rPr>
              <w:t xml:space="preserve"> </w:t>
            </w:r>
            <w:r w:rsidR="00B7438E" w:rsidRPr="001E24F4">
              <w:rPr>
                <w:sz w:val="20"/>
                <w:szCs w:val="20"/>
              </w:rPr>
              <w:t>terapii</w:t>
            </w:r>
            <w:r w:rsidR="00F21C02" w:rsidRPr="001E24F4">
              <w:rPr>
                <w:sz w:val="20"/>
                <w:szCs w:val="20"/>
              </w:rPr>
              <w:t>;</w:t>
            </w:r>
          </w:p>
          <w:p w14:paraId="1D5547F5" w14:textId="05BC8AE4" w:rsidR="00F21C02" w:rsidRPr="001E24F4" w:rsidRDefault="00F21C02" w:rsidP="001E24F4">
            <w:pPr>
              <w:pStyle w:val="Akapitzlist"/>
              <w:numPr>
                <w:ilvl w:val="3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możliwość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zastosowania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leczonych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kobiet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wieku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rozrodczym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oraz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mężczyzn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(i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ich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partnerów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seksualnych)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skutecznych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metod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antykoncepcji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okresie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najmniej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12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lastRenderedPageBreak/>
              <w:t>miesięcy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infuzji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aksykabtagenu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cyloleucelu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albo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tisagenlecleucelu.</w:t>
            </w:r>
            <w:r w:rsidR="001E24F4">
              <w:rPr>
                <w:sz w:val="20"/>
                <w:szCs w:val="20"/>
              </w:rPr>
              <w:t xml:space="preserve"> </w:t>
            </w:r>
          </w:p>
          <w:p w14:paraId="00B4310B" w14:textId="0AA17725" w:rsidR="00067372" w:rsidRPr="001E24F4" w:rsidRDefault="00067372" w:rsidP="001E24F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Kryteria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kwalifikacji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muszą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być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spełnione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łącznie.</w:t>
            </w:r>
          </w:p>
          <w:p w14:paraId="4BE123C6" w14:textId="77777777" w:rsidR="001B012A" w:rsidRPr="001E24F4" w:rsidRDefault="001B012A" w:rsidP="001E24F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573DE26B" w14:textId="048BB038" w:rsidR="001B012A" w:rsidRPr="001E24F4" w:rsidRDefault="001B012A" w:rsidP="001E24F4">
            <w:pPr>
              <w:pStyle w:val="Akapitzlist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1E24F4">
              <w:rPr>
                <w:b/>
                <w:bCs/>
                <w:sz w:val="20"/>
                <w:szCs w:val="20"/>
              </w:rPr>
              <w:t>Określenie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czasu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leczenia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w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programie</w:t>
            </w:r>
          </w:p>
          <w:p w14:paraId="4CF8C273" w14:textId="1AD4ECCD" w:rsidR="00067372" w:rsidRPr="001E24F4" w:rsidRDefault="001B012A" w:rsidP="001E24F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bCs/>
                <w:sz w:val="20"/>
                <w:szCs w:val="20"/>
              </w:rPr>
              <w:t>U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chorych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można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zastosować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jedno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przetoczenie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CAR-T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(tj.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jedno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podanie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aksykabtagen</w:t>
            </w:r>
            <w:r w:rsidR="00B7438E" w:rsidRPr="001E24F4">
              <w:rPr>
                <w:bCs/>
                <w:sz w:val="20"/>
                <w:szCs w:val="20"/>
              </w:rPr>
              <w:t>u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cyloleucelu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albo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jedno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podanie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tisagenlecleucelu).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Maksymalny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czas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opieki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w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ramach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programu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lekowego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wynosi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12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miesięcy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od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dnia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podania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CAR-T.</w:t>
            </w:r>
          </w:p>
          <w:p w14:paraId="69AC3C90" w14:textId="77777777" w:rsidR="001B012A" w:rsidRPr="001E24F4" w:rsidRDefault="001B012A" w:rsidP="001E24F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0F9C4458" w14:textId="28356888" w:rsidR="001B012A" w:rsidRPr="001E24F4" w:rsidRDefault="001B012A" w:rsidP="001E24F4">
            <w:pPr>
              <w:pStyle w:val="Akapitzlist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Cs/>
                <w:sz w:val="20"/>
                <w:szCs w:val="20"/>
              </w:rPr>
            </w:pPr>
            <w:r w:rsidRPr="001E24F4">
              <w:rPr>
                <w:b/>
                <w:bCs/>
                <w:sz w:val="20"/>
                <w:szCs w:val="20"/>
              </w:rPr>
              <w:t>Kryteria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stanowiące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przeciwwskazania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do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włączenia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do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programu</w:t>
            </w:r>
          </w:p>
          <w:p w14:paraId="78F6AA40" w14:textId="102E7E0B" w:rsidR="001B012A" w:rsidRPr="001E24F4" w:rsidRDefault="001B012A" w:rsidP="001E24F4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Obecne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najmniej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jedno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poniższych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kryteriów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podczas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kwalifikacji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programu:</w:t>
            </w:r>
          </w:p>
          <w:p w14:paraId="34587204" w14:textId="5EEEC0C4" w:rsidR="001B012A" w:rsidRPr="001E24F4" w:rsidRDefault="001B012A" w:rsidP="001E24F4">
            <w:pPr>
              <w:numPr>
                <w:ilvl w:val="2"/>
                <w:numId w:val="22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nadwrażliwość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którąkolwiek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substancję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pomocniczą;</w:t>
            </w:r>
          </w:p>
          <w:p w14:paraId="2754B6E4" w14:textId="3AEE4B92" w:rsidR="00AD689F" w:rsidRPr="001E24F4" w:rsidRDefault="001B012A" w:rsidP="001E24F4">
            <w:pPr>
              <w:numPr>
                <w:ilvl w:val="2"/>
                <w:numId w:val="22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ciąża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karmienie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piersią;</w:t>
            </w:r>
          </w:p>
          <w:p w14:paraId="79FDE0A3" w14:textId="2C04FA55" w:rsidR="00AD689F" w:rsidRPr="001E24F4" w:rsidRDefault="0041155E" w:rsidP="001E24F4">
            <w:pPr>
              <w:numPr>
                <w:ilvl w:val="2"/>
                <w:numId w:val="22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aktywne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niekontrolowane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zakażenie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systemowe;</w:t>
            </w:r>
          </w:p>
          <w:p w14:paraId="40E3C242" w14:textId="72296DC1" w:rsidR="00AD689F" w:rsidRPr="001E24F4" w:rsidRDefault="0041155E" w:rsidP="001E24F4">
            <w:pPr>
              <w:numPr>
                <w:ilvl w:val="2"/>
                <w:numId w:val="22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aktywna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obturacyjna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restrykcyjna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choroba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płuc;</w:t>
            </w:r>
          </w:p>
          <w:p w14:paraId="6A04BA6C" w14:textId="3A618885" w:rsidR="00AD689F" w:rsidRPr="001E24F4" w:rsidRDefault="0041155E" w:rsidP="001E24F4">
            <w:pPr>
              <w:numPr>
                <w:ilvl w:val="2"/>
                <w:numId w:val="22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aktywna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hemoliza;</w:t>
            </w:r>
          </w:p>
          <w:p w14:paraId="6533A60B" w14:textId="229BEC3C" w:rsidR="00AD689F" w:rsidRPr="001E24F4" w:rsidRDefault="0041155E" w:rsidP="001E24F4">
            <w:pPr>
              <w:numPr>
                <w:ilvl w:val="2"/>
                <w:numId w:val="22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aktywna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koagulopatia;</w:t>
            </w:r>
          </w:p>
          <w:p w14:paraId="6A894D71" w14:textId="70DD50EE" w:rsidR="00AD689F" w:rsidRPr="001E24F4" w:rsidRDefault="0041155E" w:rsidP="001E24F4">
            <w:pPr>
              <w:numPr>
                <w:ilvl w:val="2"/>
                <w:numId w:val="22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zakrzepowe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zapalenie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żył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głębokich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zatorowość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płucna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ciągu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ostatnich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6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miesięcy;</w:t>
            </w:r>
          </w:p>
          <w:p w14:paraId="330AC84C" w14:textId="38E4B694" w:rsidR="00AD689F" w:rsidRPr="001E24F4" w:rsidRDefault="0041155E" w:rsidP="001E24F4">
            <w:pPr>
              <w:numPr>
                <w:ilvl w:val="2"/>
                <w:numId w:val="22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zajęcie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ośrodkowego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układu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nerwowego</w:t>
            </w:r>
            <w:r w:rsidR="001E24F4">
              <w:rPr>
                <w:sz w:val="20"/>
                <w:szCs w:val="20"/>
              </w:rPr>
              <w:t xml:space="preserve"> </w:t>
            </w:r>
            <w:r w:rsidR="005E5666" w:rsidRPr="001E24F4">
              <w:rPr>
                <w:sz w:val="20"/>
                <w:szCs w:val="20"/>
              </w:rPr>
              <w:t>(OUN)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przez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chłoniaka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="005E5666" w:rsidRPr="001E24F4">
              <w:rPr>
                <w:sz w:val="20"/>
                <w:szCs w:val="20"/>
              </w:rPr>
              <w:t>przez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inne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choroby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obejmujące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OUN;</w:t>
            </w:r>
          </w:p>
          <w:p w14:paraId="3CE9B355" w14:textId="78B06A4C" w:rsidR="00AD689F" w:rsidRPr="001E24F4" w:rsidRDefault="0041155E" w:rsidP="001E24F4">
            <w:pPr>
              <w:numPr>
                <w:ilvl w:val="2"/>
                <w:numId w:val="22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zakażenie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HIV</w:t>
            </w:r>
            <w:r w:rsidR="005E5666" w:rsidRPr="001E24F4">
              <w:rPr>
                <w:sz w:val="20"/>
                <w:szCs w:val="20"/>
              </w:rPr>
              <w:t>;</w:t>
            </w:r>
          </w:p>
          <w:p w14:paraId="057E0768" w14:textId="092606FE" w:rsidR="00AD689F" w:rsidRPr="001E24F4" w:rsidRDefault="0041155E" w:rsidP="001E24F4">
            <w:pPr>
              <w:numPr>
                <w:ilvl w:val="2"/>
                <w:numId w:val="22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aktywne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wirusowe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zapalenie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wątroby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typu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B,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C;</w:t>
            </w:r>
          </w:p>
          <w:p w14:paraId="473B7F4B" w14:textId="25647051" w:rsidR="00AD689F" w:rsidRPr="001E24F4" w:rsidRDefault="0041155E" w:rsidP="001E24F4">
            <w:pPr>
              <w:numPr>
                <w:ilvl w:val="2"/>
                <w:numId w:val="22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aktywna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choroba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autoimmunologiczna;</w:t>
            </w:r>
          </w:p>
          <w:p w14:paraId="519A4176" w14:textId="18191C9F" w:rsidR="00AD689F" w:rsidRPr="001E24F4" w:rsidRDefault="0041155E" w:rsidP="001E24F4">
            <w:pPr>
              <w:numPr>
                <w:ilvl w:val="2"/>
                <w:numId w:val="22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pierwotny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niedobór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odporności;</w:t>
            </w:r>
          </w:p>
          <w:p w14:paraId="1F673737" w14:textId="24422204" w:rsidR="008E53D3" w:rsidRPr="001E24F4" w:rsidRDefault="0041155E" w:rsidP="001E24F4">
            <w:pPr>
              <w:numPr>
                <w:ilvl w:val="2"/>
                <w:numId w:val="22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lastRenderedPageBreak/>
              <w:t>obecność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przeciwwskazań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stosowania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chemioterapii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limfodeplecyjnej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zastosowaniem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takich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leków,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jak:</w:t>
            </w:r>
            <w:r w:rsidR="001E24F4">
              <w:rPr>
                <w:sz w:val="20"/>
                <w:szCs w:val="20"/>
              </w:rPr>
              <w:t xml:space="preserve"> </w:t>
            </w:r>
          </w:p>
          <w:p w14:paraId="1684E1F4" w14:textId="6C239932" w:rsidR="00AD689F" w:rsidRPr="001E24F4" w:rsidRDefault="0041155E" w:rsidP="001E24F4">
            <w:pPr>
              <w:pStyle w:val="Akapitzlist"/>
              <w:numPr>
                <w:ilvl w:val="3"/>
                <w:numId w:val="22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cyklofosfamid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fludarabina</w:t>
            </w:r>
            <w:r w:rsidR="001E24F4">
              <w:rPr>
                <w:sz w:val="20"/>
                <w:szCs w:val="20"/>
              </w:rPr>
              <w:t xml:space="preserve"> </w:t>
            </w:r>
            <w:r w:rsidR="008E53D3" w:rsidRPr="001E24F4">
              <w:rPr>
                <w:sz w:val="20"/>
                <w:szCs w:val="20"/>
              </w:rPr>
              <w:t>–</w:t>
            </w:r>
            <w:r w:rsidR="001E24F4">
              <w:rPr>
                <w:sz w:val="20"/>
                <w:szCs w:val="20"/>
              </w:rPr>
              <w:t xml:space="preserve"> </w:t>
            </w:r>
            <w:r w:rsidR="008E53D3"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="008E53D3" w:rsidRPr="001E24F4">
              <w:rPr>
                <w:sz w:val="20"/>
                <w:szCs w:val="20"/>
              </w:rPr>
              <w:t>przypadku</w:t>
            </w:r>
            <w:r w:rsidR="001E24F4">
              <w:rPr>
                <w:sz w:val="20"/>
                <w:szCs w:val="20"/>
              </w:rPr>
              <w:t xml:space="preserve"> </w:t>
            </w:r>
            <w:r w:rsidR="008E53D3" w:rsidRPr="001E24F4">
              <w:rPr>
                <w:sz w:val="20"/>
                <w:szCs w:val="20"/>
              </w:rPr>
              <w:t>leczenia</w:t>
            </w:r>
            <w:r w:rsidR="001E24F4">
              <w:rPr>
                <w:sz w:val="20"/>
                <w:szCs w:val="20"/>
              </w:rPr>
              <w:t xml:space="preserve"> </w:t>
            </w:r>
            <w:r w:rsidR="008E53D3" w:rsidRPr="001E24F4">
              <w:rPr>
                <w:sz w:val="20"/>
                <w:szCs w:val="20"/>
              </w:rPr>
              <w:t>aksykabtagenem</w:t>
            </w:r>
            <w:r w:rsidR="001E24F4">
              <w:rPr>
                <w:sz w:val="20"/>
                <w:szCs w:val="20"/>
              </w:rPr>
              <w:t xml:space="preserve"> </w:t>
            </w:r>
            <w:r w:rsidR="008E53D3" w:rsidRPr="001E24F4">
              <w:rPr>
                <w:sz w:val="20"/>
                <w:szCs w:val="20"/>
              </w:rPr>
              <w:t>cyloleucelu</w:t>
            </w:r>
            <w:r w:rsidR="000A4D83" w:rsidRPr="001E24F4">
              <w:rPr>
                <w:sz w:val="20"/>
                <w:szCs w:val="20"/>
              </w:rPr>
              <w:t>,</w:t>
            </w:r>
          </w:p>
          <w:p w14:paraId="20A92C24" w14:textId="45648E61" w:rsidR="008E53D3" w:rsidRPr="001E24F4" w:rsidRDefault="000A4D83" w:rsidP="001E24F4">
            <w:pPr>
              <w:pStyle w:val="Akapitzlist"/>
              <w:numPr>
                <w:ilvl w:val="3"/>
                <w:numId w:val="22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cyklofosfamid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fludarabina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albo</w:t>
            </w:r>
            <w:r w:rsidR="001E24F4">
              <w:rPr>
                <w:sz w:val="20"/>
                <w:szCs w:val="20"/>
              </w:rPr>
              <w:t xml:space="preserve"> </w:t>
            </w:r>
            <w:r w:rsidR="008E53D3" w:rsidRPr="001E24F4">
              <w:rPr>
                <w:sz w:val="20"/>
                <w:szCs w:val="20"/>
              </w:rPr>
              <w:t>bendamustyna</w:t>
            </w:r>
            <w:r w:rsidR="001E24F4">
              <w:rPr>
                <w:sz w:val="20"/>
                <w:szCs w:val="20"/>
              </w:rPr>
              <w:t xml:space="preserve"> </w:t>
            </w:r>
            <w:r w:rsidR="008E53D3" w:rsidRPr="001E24F4">
              <w:rPr>
                <w:sz w:val="20"/>
                <w:szCs w:val="20"/>
              </w:rPr>
              <w:t>–</w:t>
            </w:r>
            <w:r w:rsidR="001E24F4">
              <w:rPr>
                <w:sz w:val="20"/>
                <w:szCs w:val="20"/>
              </w:rPr>
              <w:t xml:space="preserve"> </w:t>
            </w:r>
            <w:r w:rsidR="008E53D3"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="008E53D3" w:rsidRPr="001E24F4">
              <w:rPr>
                <w:sz w:val="20"/>
                <w:szCs w:val="20"/>
              </w:rPr>
              <w:t>przypadku</w:t>
            </w:r>
            <w:r w:rsidR="001E24F4">
              <w:rPr>
                <w:sz w:val="20"/>
                <w:szCs w:val="20"/>
              </w:rPr>
              <w:t xml:space="preserve"> </w:t>
            </w:r>
            <w:r w:rsidR="008E53D3" w:rsidRPr="001E24F4">
              <w:rPr>
                <w:sz w:val="20"/>
                <w:szCs w:val="20"/>
              </w:rPr>
              <w:t>leczenia</w:t>
            </w:r>
            <w:r w:rsidR="001E24F4">
              <w:rPr>
                <w:sz w:val="20"/>
                <w:szCs w:val="20"/>
              </w:rPr>
              <w:t xml:space="preserve"> </w:t>
            </w:r>
            <w:r w:rsidR="008E53D3" w:rsidRPr="001E24F4">
              <w:rPr>
                <w:sz w:val="20"/>
                <w:szCs w:val="20"/>
              </w:rPr>
              <w:t>tisagenlecleucelem</w:t>
            </w:r>
          </w:p>
          <w:p w14:paraId="40EFCC91" w14:textId="1F2CCBEB" w:rsidR="0041155E" w:rsidRPr="001E24F4" w:rsidRDefault="0041155E" w:rsidP="001E24F4">
            <w:pPr>
              <w:numPr>
                <w:ilvl w:val="2"/>
                <w:numId w:val="22"/>
              </w:numPr>
              <w:autoSpaceDE w:val="0"/>
              <w:autoSpaceDN w:val="0"/>
              <w:adjustRightInd w:val="0"/>
              <w:spacing w:after="60" w:line="276" w:lineRule="auto"/>
              <w:ind w:left="227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wcześniejsze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leczenie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CAR-T</w:t>
            </w:r>
            <w:r w:rsidR="001E24F4">
              <w:rPr>
                <w:sz w:val="20"/>
                <w:szCs w:val="20"/>
              </w:rPr>
              <w:t xml:space="preserve"> </w:t>
            </w:r>
            <w:r w:rsidR="00772D6B" w:rsidRPr="001E24F4">
              <w:rPr>
                <w:sz w:val="20"/>
                <w:szCs w:val="20"/>
              </w:rPr>
              <w:t>(anty-CD19)</w:t>
            </w:r>
            <w:r w:rsidR="00B5059B" w:rsidRPr="001E24F4">
              <w:rPr>
                <w:sz w:val="20"/>
                <w:szCs w:val="20"/>
              </w:rPr>
              <w:t>.</w:t>
            </w:r>
          </w:p>
          <w:p w14:paraId="691900F6" w14:textId="59C39D56" w:rsidR="00AF3019" w:rsidRPr="001E24F4" w:rsidRDefault="00AF3019" w:rsidP="001E24F4">
            <w:pPr>
              <w:autoSpaceDE w:val="0"/>
              <w:autoSpaceDN w:val="0"/>
              <w:adjustRightInd w:val="0"/>
              <w:spacing w:after="60" w:line="276" w:lineRule="auto"/>
              <w:ind w:left="227"/>
              <w:jc w:val="both"/>
              <w:rPr>
                <w:sz w:val="20"/>
                <w:szCs w:val="20"/>
              </w:rPr>
            </w:pPr>
          </w:p>
          <w:p w14:paraId="1127B085" w14:textId="6681CE7D" w:rsidR="001B012A" w:rsidRPr="001E24F4" w:rsidRDefault="001B012A" w:rsidP="001E24F4">
            <w:pPr>
              <w:pStyle w:val="Akapitzlist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b/>
                <w:bCs/>
                <w:sz w:val="20"/>
                <w:szCs w:val="20"/>
              </w:rPr>
              <w:t>Kryteria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wyłączenia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z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programu</w:t>
            </w:r>
          </w:p>
          <w:p w14:paraId="4D83EA79" w14:textId="269ECF06" w:rsidR="00E65EA8" w:rsidRPr="001E24F4" w:rsidRDefault="00755D68" w:rsidP="001E24F4">
            <w:pPr>
              <w:pStyle w:val="Akapitzlist"/>
              <w:numPr>
                <w:ilvl w:val="2"/>
                <w:numId w:val="22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w</w:t>
            </w:r>
            <w:r w:rsidR="00A92CFA" w:rsidRPr="001E24F4">
              <w:rPr>
                <w:sz w:val="20"/>
                <w:szCs w:val="20"/>
              </w:rPr>
              <w:t>ystąpienie</w:t>
            </w:r>
            <w:r w:rsidR="001E24F4">
              <w:rPr>
                <w:sz w:val="20"/>
                <w:szCs w:val="20"/>
              </w:rPr>
              <w:t xml:space="preserve"> </w:t>
            </w:r>
            <w:r w:rsidR="00A92CFA" w:rsidRPr="001E24F4">
              <w:rPr>
                <w:sz w:val="20"/>
                <w:szCs w:val="20"/>
              </w:rPr>
              <w:t>nieodwracalnych,</w:t>
            </w:r>
            <w:r w:rsidR="001E24F4">
              <w:rPr>
                <w:sz w:val="20"/>
                <w:szCs w:val="20"/>
              </w:rPr>
              <w:t xml:space="preserve"> </w:t>
            </w:r>
            <w:r w:rsidR="00A92CFA" w:rsidRPr="001E24F4">
              <w:rPr>
                <w:sz w:val="20"/>
                <w:szCs w:val="20"/>
              </w:rPr>
              <w:t>bezwzględnych</w:t>
            </w:r>
            <w:r w:rsidR="001E24F4">
              <w:rPr>
                <w:sz w:val="20"/>
                <w:szCs w:val="20"/>
              </w:rPr>
              <w:t xml:space="preserve"> </w:t>
            </w:r>
            <w:r w:rsidR="00A92CFA" w:rsidRPr="001E24F4">
              <w:rPr>
                <w:sz w:val="20"/>
                <w:szCs w:val="20"/>
              </w:rPr>
              <w:t>przeciwwskazań</w:t>
            </w:r>
            <w:r w:rsidR="001E24F4">
              <w:rPr>
                <w:sz w:val="20"/>
                <w:szCs w:val="20"/>
              </w:rPr>
              <w:t xml:space="preserve"> </w:t>
            </w:r>
            <w:r w:rsidR="00A92CFA" w:rsidRPr="001E24F4">
              <w:rPr>
                <w:sz w:val="20"/>
                <w:szCs w:val="20"/>
              </w:rPr>
              <w:t>do</w:t>
            </w:r>
            <w:r w:rsidR="001E24F4">
              <w:rPr>
                <w:sz w:val="20"/>
                <w:szCs w:val="20"/>
              </w:rPr>
              <w:t xml:space="preserve"> </w:t>
            </w:r>
            <w:r w:rsidR="00A92CFA" w:rsidRPr="001E24F4">
              <w:rPr>
                <w:sz w:val="20"/>
                <w:szCs w:val="20"/>
              </w:rPr>
              <w:t>podania</w:t>
            </w:r>
            <w:r w:rsidR="001E24F4">
              <w:rPr>
                <w:sz w:val="20"/>
                <w:szCs w:val="20"/>
              </w:rPr>
              <w:t xml:space="preserve"> </w:t>
            </w:r>
            <w:r w:rsidR="00A92CFA" w:rsidRPr="001E24F4">
              <w:rPr>
                <w:sz w:val="20"/>
                <w:szCs w:val="20"/>
              </w:rPr>
              <w:t>aksykabtag</w:t>
            </w:r>
            <w:r w:rsidR="003D5503" w:rsidRPr="001E24F4">
              <w:rPr>
                <w:sz w:val="20"/>
                <w:szCs w:val="20"/>
              </w:rPr>
              <w:t>enu</w:t>
            </w:r>
            <w:r w:rsidR="001E24F4">
              <w:rPr>
                <w:sz w:val="20"/>
                <w:szCs w:val="20"/>
              </w:rPr>
              <w:t xml:space="preserve"> </w:t>
            </w:r>
            <w:r w:rsidR="00A92CFA" w:rsidRPr="001E24F4">
              <w:rPr>
                <w:sz w:val="20"/>
                <w:szCs w:val="20"/>
              </w:rPr>
              <w:t>cyloleucelu</w:t>
            </w:r>
            <w:r w:rsidR="001E24F4">
              <w:rPr>
                <w:sz w:val="20"/>
                <w:szCs w:val="20"/>
              </w:rPr>
              <w:t xml:space="preserve"> </w:t>
            </w:r>
            <w:r w:rsidR="00A92CFA" w:rsidRPr="001E24F4">
              <w:rPr>
                <w:sz w:val="20"/>
                <w:szCs w:val="20"/>
              </w:rPr>
              <w:t>albo</w:t>
            </w:r>
            <w:r w:rsidR="001E24F4">
              <w:rPr>
                <w:sz w:val="20"/>
                <w:szCs w:val="20"/>
              </w:rPr>
              <w:t xml:space="preserve"> </w:t>
            </w:r>
            <w:r w:rsidR="00A92CFA" w:rsidRPr="001E24F4">
              <w:rPr>
                <w:sz w:val="20"/>
                <w:szCs w:val="20"/>
              </w:rPr>
              <w:t>tisagenlecleucelu</w:t>
            </w:r>
          </w:p>
          <w:p w14:paraId="17E1CDF3" w14:textId="4077C316" w:rsidR="00AF3019" w:rsidRPr="001E24F4" w:rsidRDefault="00AF3019" w:rsidP="001E24F4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454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9326" w14:textId="7D7816B8" w:rsidR="000F18A1" w:rsidRPr="001E24F4" w:rsidRDefault="000F18A1" w:rsidP="001E24F4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1E24F4">
              <w:rPr>
                <w:b/>
                <w:bCs/>
                <w:sz w:val="20"/>
                <w:szCs w:val="20"/>
              </w:rPr>
              <w:lastRenderedPageBreak/>
              <w:t>Leczenie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chorych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na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chłoniaki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z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dużych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komórek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B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aksykabtagenem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cyloleucelu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="00755D68" w:rsidRPr="001E24F4">
              <w:rPr>
                <w:b/>
                <w:bCs/>
                <w:sz w:val="20"/>
                <w:szCs w:val="20"/>
              </w:rPr>
              <w:t>albo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tisagenlecleucelem</w:t>
            </w:r>
          </w:p>
          <w:p w14:paraId="68D128E1" w14:textId="74393167" w:rsidR="000F18A1" w:rsidRPr="001E24F4" w:rsidRDefault="000F18A1" w:rsidP="001E24F4">
            <w:pPr>
              <w:pStyle w:val="Akapitzlist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b/>
                <w:bCs/>
                <w:sz w:val="20"/>
                <w:szCs w:val="20"/>
              </w:rPr>
              <w:t>Dawkowanie</w:t>
            </w:r>
          </w:p>
          <w:p w14:paraId="42C9FBE9" w14:textId="1557D094" w:rsidR="000A4D83" w:rsidRPr="001E24F4" w:rsidRDefault="000A4D83" w:rsidP="001E24F4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Schemat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dawkowania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aksykabtagenu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cyloleucelu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oraz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tisagenlecleucelu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zgodnie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zapisami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lastRenderedPageBreak/>
              <w:t>Charakterystyk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Produkt</w:t>
            </w:r>
            <w:r w:rsidR="00054506" w:rsidRPr="001E24F4">
              <w:rPr>
                <w:sz w:val="20"/>
                <w:szCs w:val="20"/>
              </w:rPr>
              <w:t>ów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Lecznicz</w:t>
            </w:r>
            <w:r w:rsidR="00054506" w:rsidRPr="001E24F4">
              <w:rPr>
                <w:sz w:val="20"/>
                <w:szCs w:val="20"/>
              </w:rPr>
              <w:t>ych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dla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tych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substancji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czynnych.</w:t>
            </w:r>
            <w:r w:rsidR="001E24F4">
              <w:rPr>
                <w:sz w:val="20"/>
                <w:szCs w:val="20"/>
              </w:rPr>
              <w:t xml:space="preserve"> </w:t>
            </w:r>
          </w:p>
          <w:p w14:paraId="2B3C11FE" w14:textId="2D1161E0" w:rsidR="00E65422" w:rsidRPr="001E24F4" w:rsidRDefault="000A4D83" w:rsidP="001E24F4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Chemioterapię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limfodeplecyjną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należy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stosować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zgodnie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zapisami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Charakterystyki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Produktu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Leczniczego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odpowiednio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dla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aksykabtagenu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cyloleucelu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albo</w:t>
            </w:r>
            <w:r w:rsidR="001E24F4">
              <w:rPr>
                <w:sz w:val="20"/>
                <w:szCs w:val="20"/>
              </w:rPr>
              <w:t xml:space="preserve"> </w:t>
            </w:r>
            <w:r w:rsidR="00DC6E9A" w:rsidRPr="001E24F4">
              <w:rPr>
                <w:sz w:val="20"/>
                <w:szCs w:val="20"/>
              </w:rPr>
              <w:t>tisagenlecleucelu.</w:t>
            </w:r>
            <w:r w:rsidR="001E24F4">
              <w:rPr>
                <w:sz w:val="20"/>
                <w:szCs w:val="20"/>
              </w:rPr>
              <w:t xml:space="preserve"> </w:t>
            </w:r>
            <w:r w:rsidR="00DC6E9A" w:rsidRPr="001E24F4">
              <w:rPr>
                <w:sz w:val="20"/>
                <w:szCs w:val="20"/>
              </w:rPr>
              <w:t>Przed</w:t>
            </w:r>
            <w:r w:rsidR="001E24F4">
              <w:rPr>
                <w:sz w:val="20"/>
                <w:szCs w:val="20"/>
              </w:rPr>
              <w:t xml:space="preserve"> </w:t>
            </w:r>
            <w:r w:rsidR="00E65422" w:rsidRPr="001E24F4">
              <w:rPr>
                <w:sz w:val="20"/>
                <w:szCs w:val="20"/>
              </w:rPr>
              <w:t>podaniem</w:t>
            </w:r>
            <w:r w:rsidR="001E24F4">
              <w:rPr>
                <w:sz w:val="20"/>
                <w:szCs w:val="20"/>
              </w:rPr>
              <w:t xml:space="preserve"> </w:t>
            </w:r>
            <w:r w:rsidR="00E65422" w:rsidRPr="001E24F4">
              <w:rPr>
                <w:sz w:val="20"/>
                <w:szCs w:val="20"/>
              </w:rPr>
              <w:t>aksykabtagenu</w:t>
            </w:r>
            <w:r w:rsidR="001E24F4">
              <w:rPr>
                <w:sz w:val="20"/>
                <w:szCs w:val="20"/>
              </w:rPr>
              <w:t xml:space="preserve"> </w:t>
            </w:r>
            <w:r w:rsidR="00E65422" w:rsidRPr="001E24F4">
              <w:rPr>
                <w:sz w:val="20"/>
                <w:szCs w:val="20"/>
              </w:rPr>
              <w:t>cyloleucelu</w:t>
            </w:r>
            <w:r w:rsidR="001E24F4">
              <w:rPr>
                <w:sz w:val="20"/>
                <w:szCs w:val="20"/>
              </w:rPr>
              <w:t xml:space="preserve"> </w:t>
            </w:r>
            <w:r w:rsidR="00E65422" w:rsidRPr="001E24F4">
              <w:rPr>
                <w:sz w:val="20"/>
                <w:szCs w:val="20"/>
              </w:rPr>
              <w:t>albo</w:t>
            </w:r>
            <w:r w:rsidR="001E24F4">
              <w:rPr>
                <w:sz w:val="20"/>
                <w:szCs w:val="20"/>
              </w:rPr>
              <w:t xml:space="preserve"> </w:t>
            </w:r>
            <w:r w:rsidR="00E65422" w:rsidRPr="001E24F4">
              <w:rPr>
                <w:sz w:val="20"/>
                <w:szCs w:val="20"/>
              </w:rPr>
              <w:t>tisagenlecleucelu</w:t>
            </w:r>
            <w:r w:rsidR="001E24F4">
              <w:rPr>
                <w:sz w:val="20"/>
                <w:szCs w:val="20"/>
              </w:rPr>
              <w:t xml:space="preserve"> </w:t>
            </w:r>
            <w:r w:rsidR="00E65422" w:rsidRPr="001E24F4">
              <w:rPr>
                <w:sz w:val="20"/>
                <w:szCs w:val="20"/>
              </w:rPr>
              <w:t>zaleca</w:t>
            </w:r>
            <w:r w:rsidR="001E24F4">
              <w:rPr>
                <w:sz w:val="20"/>
                <w:szCs w:val="20"/>
              </w:rPr>
              <w:t xml:space="preserve"> </w:t>
            </w:r>
            <w:r w:rsidR="00E65422" w:rsidRPr="001E24F4">
              <w:rPr>
                <w:sz w:val="20"/>
                <w:szCs w:val="20"/>
              </w:rPr>
              <w:t>się</w:t>
            </w:r>
            <w:r w:rsidR="001E24F4">
              <w:rPr>
                <w:sz w:val="20"/>
                <w:szCs w:val="20"/>
              </w:rPr>
              <w:t xml:space="preserve"> </w:t>
            </w:r>
            <w:r w:rsidR="00E65422" w:rsidRPr="001E24F4">
              <w:rPr>
                <w:sz w:val="20"/>
                <w:szCs w:val="20"/>
              </w:rPr>
              <w:t>zastosowanie</w:t>
            </w:r>
            <w:r w:rsidR="001E24F4">
              <w:rPr>
                <w:sz w:val="20"/>
                <w:szCs w:val="20"/>
              </w:rPr>
              <w:t xml:space="preserve"> </w:t>
            </w:r>
            <w:r w:rsidR="00E65422" w:rsidRPr="001E24F4">
              <w:rPr>
                <w:sz w:val="20"/>
                <w:szCs w:val="20"/>
              </w:rPr>
              <w:t>premedykacji</w:t>
            </w:r>
            <w:r w:rsidR="001E24F4">
              <w:rPr>
                <w:sz w:val="20"/>
                <w:szCs w:val="20"/>
              </w:rPr>
              <w:t xml:space="preserve"> </w:t>
            </w:r>
            <w:r w:rsidR="00E65422" w:rsidRPr="001E24F4">
              <w:rPr>
                <w:sz w:val="20"/>
                <w:szCs w:val="20"/>
              </w:rPr>
              <w:t>zgodnie</w:t>
            </w:r>
            <w:r w:rsidR="001E24F4">
              <w:rPr>
                <w:sz w:val="20"/>
                <w:szCs w:val="20"/>
              </w:rPr>
              <w:t xml:space="preserve"> </w:t>
            </w:r>
            <w:r w:rsidR="00E65422" w:rsidRPr="001E24F4">
              <w:rPr>
                <w:sz w:val="20"/>
                <w:szCs w:val="20"/>
              </w:rPr>
              <w:t>z</w:t>
            </w:r>
            <w:r w:rsidR="001E24F4">
              <w:rPr>
                <w:sz w:val="20"/>
                <w:szCs w:val="20"/>
              </w:rPr>
              <w:t xml:space="preserve"> </w:t>
            </w:r>
            <w:r w:rsidR="00E65422" w:rsidRPr="001E24F4">
              <w:rPr>
                <w:sz w:val="20"/>
                <w:szCs w:val="20"/>
              </w:rPr>
              <w:t>zapisami</w:t>
            </w:r>
            <w:r w:rsidR="001E24F4">
              <w:rPr>
                <w:sz w:val="20"/>
                <w:szCs w:val="20"/>
              </w:rPr>
              <w:t xml:space="preserve"> </w:t>
            </w:r>
            <w:r w:rsidR="00E65422" w:rsidRPr="001E24F4">
              <w:rPr>
                <w:sz w:val="20"/>
                <w:szCs w:val="20"/>
              </w:rPr>
              <w:t>Charakterystyk</w:t>
            </w:r>
            <w:r w:rsidR="001E24F4">
              <w:rPr>
                <w:sz w:val="20"/>
                <w:szCs w:val="20"/>
              </w:rPr>
              <w:t xml:space="preserve"> </w:t>
            </w:r>
            <w:r w:rsidR="00E65422" w:rsidRPr="001E24F4">
              <w:rPr>
                <w:sz w:val="20"/>
                <w:szCs w:val="20"/>
              </w:rPr>
              <w:t>Produkt</w:t>
            </w:r>
            <w:r w:rsidR="00054506" w:rsidRPr="001E24F4">
              <w:rPr>
                <w:sz w:val="20"/>
                <w:szCs w:val="20"/>
              </w:rPr>
              <w:t>ów</w:t>
            </w:r>
            <w:r w:rsidR="001E24F4">
              <w:rPr>
                <w:sz w:val="20"/>
                <w:szCs w:val="20"/>
              </w:rPr>
              <w:t xml:space="preserve"> </w:t>
            </w:r>
            <w:r w:rsidR="00E65422" w:rsidRPr="001E24F4">
              <w:rPr>
                <w:sz w:val="20"/>
                <w:szCs w:val="20"/>
              </w:rPr>
              <w:t>Lecznic</w:t>
            </w:r>
            <w:r w:rsidR="00054506" w:rsidRPr="001E24F4">
              <w:rPr>
                <w:sz w:val="20"/>
                <w:szCs w:val="20"/>
              </w:rPr>
              <w:t>zych</w:t>
            </w:r>
            <w:r w:rsidR="001E24F4">
              <w:rPr>
                <w:sz w:val="20"/>
                <w:szCs w:val="20"/>
              </w:rPr>
              <w:t xml:space="preserve"> </w:t>
            </w:r>
            <w:r w:rsidR="00E65422" w:rsidRPr="001E24F4">
              <w:rPr>
                <w:sz w:val="20"/>
                <w:szCs w:val="20"/>
              </w:rPr>
              <w:t>dla</w:t>
            </w:r>
            <w:r w:rsidR="001E24F4">
              <w:rPr>
                <w:sz w:val="20"/>
                <w:szCs w:val="20"/>
              </w:rPr>
              <w:t xml:space="preserve"> </w:t>
            </w:r>
            <w:r w:rsidR="00E65422" w:rsidRPr="001E24F4">
              <w:rPr>
                <w:sz w:val="20"/>
                <w:szCs w:val="20"/>
              </w:rPr>
              <w:t>tych</w:t>
            </w:r>
            <w:r w:rsidR="001E24F4">
              <w:rPr>
                <w:sz w:val="20"/>
                <w:szCs w:val="20"/>
              </w:rPr>
              <w:t xml:space="preserve"> </w:t>
            </w:r>
            <w:r w:rsidR="00E65422" w:rsidRPr="001E24F4">
              <w:rPr>
                <w:sz w:val="20"/>
                <w:szCs w:val="20"/>
              </w:rPr>
              <w:t>produktów.</w:t>
            </w:r>
          </w:p>
          <w:p w14:paraId="0BFCBE46" w14:textId="7A1C4523" w:rsidR="00E65422" w:rsidRPr="001E24F4" w:rsidRDefault="00E65422" w:rsidP="001E24F4">
            <w:pPr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29955B62" w14:textId="27FAC8CE" w:rsidR="00E65422" w:rsidRPr="001E24F4" w:rsidRDefault="00E65422" w:rsidP="001E24F4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Aksykabtagen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cyloleucelu</w:t>
            </w:r>
            <w:r w:rsidR="001E24F4">
              <w:rPr>
                <w:sz w:val="20"/>
                <w:szCs w:val="20"/>
              </w:rPr>
              <w:t xml:space="preserve"> </w:t>
            </w:r>
            <w:r w:rsidR="006E226B" w:rsidRPr="001E24F4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tisagenlecleucel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muszą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być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podawane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wykwalifikowanym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ośrodku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posiadającym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certyfikację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Podmiotu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Odpowiedzialnego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zgodnie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wymogami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EMA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oraz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akceptację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MZ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pozytywnej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opinii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Krajowej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Rady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Transplantacyjnej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odnośnie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pobierania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wykorzystania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autologicznych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limfocytów.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Terapię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należy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rozpoczynać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pod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nadzorem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fachowego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personelu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medycznego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doświadczonego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leczeniu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nowotworów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układu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krwiotwórczego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chłonnego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oraz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przeszkolonego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podawaniu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postępowaniu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pacjentami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leczonymi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aksykabtagenem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cyloleucelu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tisagenlecleucelem.</w:t>
            </w:r>
          </w:p>
          <w:p w14:paraId="6E1F51F8" w14:textId="429877D4" w:rsidR="00E65422" w:rsidRPr="001E24F4" w:rsidRDefault="00E65422" w:rsidP="001E24F4">
            <w:pPr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17AE7865" w14:textId="450D1EDF" w:rsidR="00E65422" w:rsidRPr="001E24F4" w:rsidRDefault="00E65422" w:rsidP="001E24F4">
            <w:pPr>
              <w:pStyle w:val="Akapitzlist"/>
              <w:numPr>
                <w:ilvl w:val="1"/>
                <w:numId w:val="8"/>
              </w:numPr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1E24F4">
              <w:rPr>
                <w:b/>
                <w:bCs/>
                <w:sz w:val="20"/>
                <w:szCs w:val="20"/>
              </w:rPr>
              <w:t>Specjalne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ostrzeżenia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i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środki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ostrożności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dotyczące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stosowania,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przechowywania,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przygotowania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i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usuwania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produktu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leczniczego</w:t>
            </w:r>
          </w:p>
          <w:p w14:paraId="6E39C6AC" w14:textId="193D641E" w:rsidR="00E65422" w:rsidRPr="001E24F4" w:rsidRDefault="00E65422" w:rsidP="001E24F4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Postępowanie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zgodnie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zapisami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Charakterystyk</w:t>
            </w:r>
            <w:r w:rsidR="00054506" w:rsidRPr="001E24F4">
              <w:rPr>
                <w:sz w:val="20"/>
                <w:szCs w:val="20"/>
              </w:rPr>
              <w:t>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Produkt</w:t>
            </w:r>
            <w:r w:rsidR="00054506" w:rsidRPr="001E24F4">
              <w:rPr>
                <w:sz w:val="20"/>
                <w:szCs w:val="20"/>
              </w:rPr>
              <w:t>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Leczniczego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odpowiednio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dla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lastRenderedPageBreak/>
              <w:t>aksykabtagenu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cyloleucelu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albo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tisagenlecleucelu.</w:t>
            </w:r>
          </w:p>
          <w:p w14:paraId="4D0B6F8B" w14:textId="77777777" w:rsidR="000A4D83" w:rsidRPr="001E24F4" w:rsidRDefault="000A4D83" w:rsidP="001E24F4">
            <w:pPr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4CA6A391" w14:textId="77777777" w:rsidR="00E83F1B" w:rsidRPr="001E24F4" w:rsidRDefault="00E83F1B" w:rsidP="001E24F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1F077" w14:textId="36535FD6" w:rsidR="00C90DC0" w:rsidRPr="001E24F4" w:rsidRDefault="00C90DC0" w:rsidP="001E24F4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1E24F4">
              <w:rPr>
                <w:b/>
                <w:bCs/>
                <w:sz w:val="20"/>
                <w:szCs w:val="20"/>
              </w:rPr>
              <w:lastRenderedPageBreak/>
              <w:t>Leczenie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chorych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na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chłoniaki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z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dużych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komórek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B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aksykabtagenem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cyloleucelu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="00755D68" w:rsidRPr="001E24F4">
              <w:rPr>
                <w:b/>
                <w:bCs/>
                <w:sz w:val="20"/>
                <w:szCs w:val="20"/>
              </w:rPr>
              <w:t>albo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tisagenlecleucelem</w:t>
            </w:r>
          </w:p>
          <w:p w14:paraId="4AF42E3B" w14:textId="3C6A8ABB" w:rsidR="00C90DC0" w:rsidRPr="001E24F4" w:rsidRDefault="00C90DC0" w:rsidP="001E24F4">
            <w:pPr>
              <w:pStyle w:val="Akapitzlist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b/>
                <w:bCs/>
                <w:sz w:val="20"/>
                <w:szCs w:val="20"/>
              </w:rPr>
              <w:t>Badania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860C8A9" w14:textId="567E647A" w:rsidR="00C60965" w:rsidRPr="001E24F4" w:rsidRDefault="00C60965" w:rsidP="001E24F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b/>
                <w:bCs/>
                <w:sz w:val="20"/>
                <w:szCs w:val="20"/>
              </w:rPr>
              <w:t>3.1.1.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Badania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przy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kwalifikacji</w:t>
            </w:r>
          </w:p>
          <w:p w14:paraId="3A48E783" w14:textId="22B77C76" w:rsidR="00C90DC0" w:rsidRPr="001E24F4" w:rsidRDefault="00C90DC0" w:rsidP="001E24F4">
            <w:pPr>
              <w:pStyle w:val="Akapitzlist"/>
              <w:numPr>
                <w:ilvl w:val="2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badanie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fizykalne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ocena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objawów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strony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centralnego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układu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nerwowego;</w:t>
            </w:r>
          </w:p>
          <w:p w14:paraId="5CF65916" w14:textId="440A9251" w:rsidR="00C90DC0" w:rsidRPr="001E24F4" w:rsidRDefault="00C90DC0" w:rsidP="001E24F4">
            <w:pPr>
              <w:pStyle w:val="Akapitzlist"/>
              <w:numPr>
                <w:ilvl w:val="2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lastRenderedPageBreak/>
              <w:t>morfologia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krwi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rozmazem;</w:t>
            </w:r>
          </w:p>
          <w:p w14:paraId="13E33E2A" w14:textId="061040EA" w:rsidR="00C90DC0" w:rsidRPr="001E24F4" w:rsidRDefault="00C90DC0" w:rsidP="001E24F4">
            <w:pPr>
              <w:pStyle w:val="Akapitzlist"/>
              <w:numPr>
                <w:ilvl w:val="2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ocena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funkcji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wątroby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(AlAT,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AspAT,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stężenie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bilirubiny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surowicy);</w:t>
            </w:r>
          </w:p>
          <w:p w14:paraId="42C17109" w14:textId="37DC4A8C" w:rsidR="00C90DC0" w:rsidRPr="001E24F4" w:rsidRDefault="00C90DC0" w:rsidP="001E24F4">
            <w:pPr>
              <w:pStyle w:val="Akapitzlist"/>
              <w:numPr>
                <w:ilvl w:val="2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ocena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funkcji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nerek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(stężenie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kreatyniny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surowicy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klirens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kreatyniny);</w:t>
            </w:r>
          </w:p>
          <w:p w14:paraId="5594F93D" w14:textId="28E91AE2" w:rsidR="00C90DC0" w:rsidRPr="001E24F4" w:rsidRDefault="00C90DC0" w:rsidP="001E24F4">
            <w:pPr>
              <w:pStyle w:val="Akapitzlist"/>
              <w:numPr>
                <w:ilvl w:val="2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ocena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płynu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mózgowo-rdzeniowego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(w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uzasadnionych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przypadkach);</w:t>
            </w:r>
          </w:p>
          <w:p w14:paraId="5E0A6A5F" w14:textId="07CAB4D9" w:rsidR="00C90DC0" w:rsidRPr="001E24F4" w:rsidRDefault="00C90DC0" w:rsidP="001E24F4">
            <w:pPr>
              <w:pStyle w:val="Akapitzlist"/>
              <w:numPr>
                <w:ilvl w:val="2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badania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obrazowe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ośrodkowego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układu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nerwowego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(CT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NMR);</w:t>
            </w:r>
          </w:p>
          <w:p w14:paraId="0B750007" w14:textId="18BE70B4" w:rsidR="00C90DC0" w:rsidRPr="001E24F4" w:rsidRDefault="00C90DC0" w:rsidP="001E24F4">
            <w:pPr>
              <w:pStyle w:val="Akapitzlist"/>
              <w:numPr>
                <w:ilvl w:val="2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badania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radiologiczne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potwierdzające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wznowę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oporność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choroby,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zastosowaniem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CT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NMR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PET-CT;</w:t>
            </w:r>
          </w:p>
          <w:p w14:paraId="512FC574" w14:textId="6E1A4030" w:rsidR="00C90DC0" w:rsidRPr="001E24F4" w:rsidRDefault="00C90DC0" w:rsidP="001E24F4">
            <w:pPr>
              <w:pStyle w:val="Akapitzlist"/>
              <w:numPr>
                <w:ilvl w:val="2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EKG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oraz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ocena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LVEF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wykonana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metodą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ECHO</w:t>
            </w:r>
            <w:r w:rsidR="006E226B" w:rsidRPr="001E24F4">
              <w:rPr>
                <w:sz w:val="20"/>
                <w:szCs w:val="20"/>
              </w:rPr>
              <w:t>/MUGA</w:t>
            </w:r>
            <w:r w:rsidRPr="001E24F4">
              <w:rPr>
                <w:sz w:val="20"/>
                <w:szCs w:val="20"/>
              </w:rPr>
              <w:t>;</w:t>
            </w:r>
          </w:p>
          <w:p w14:paraId="7256A7E1" w14:textId="373488D3" w:rsidR="00C90DC0" w:rsidRPr="001E24F4" w:rsidRDefault="00C90DC0" w:rsidP="001E24F4">
            <w:pPr>
              <w:pStyle w:val="Akapitzlist"/>
              <w:numPr>
                <w:ilvl w:val="2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test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ciążowy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(u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kobiet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możliwością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zajścia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ciążę);</w:t>
            </w:r>
          </w:p>
          <w:p w14:paraId="74A50906" w14:textId="1D582F29" w:rsidR="00C90DC0" w:rsidRPr="001E24F4" w:rsidRDefault="00C90DC0" w:rsidP="001E24F4">
            <w:pPr>
              <w:pStyle w:val="Akapitzlist"/>
              <w:numPr>
                <w:ilvl w:val="2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test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HIV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(przeciwciała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anty-HIV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surowicy);</w:t>
            </w:r>
          </w:p>
          <w:p w14:paraId="277D0F3A" w14:textId="1B48831B" w:rsidR="00C90DC0" w:rsidRPr="001E24F4" w:rsidRDefault="00C90DC0" w:rsidP="001E24F4">
            <w:pPr>
              <w:pStyle w:val="Akapitzlist"/>
              <w:numPr>
                <w:ilvl w:val="2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oznaczenie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markerów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wirusa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zapalenia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wątroby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typu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B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(HBsAg,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anty-HBc,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anty-HBs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–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przypadku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dodatnich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anty-HBc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wykonać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HBV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DNA);</w:t>
            </w:r>
          </w:p>
          <w:p w14:paraId="2C1AA087" w14:textId="28344921" w:rsidR="00C90DC0" w:rsidRPr="001E24F4" w:rsidRDefault="00C90DC0" w:rsidP="001E24F4">
            <w:pPr>
              <w:pStyle w:val="Akapitzlist"/>
              <w:numPr>
                <w:ilvl w:val="2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oznaczenie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markerów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wirusa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zapalenia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wątroby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typu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(anty-HCV,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HCV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RNA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–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przypadku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dodatnich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anty-HCV).</w:t>
            </w:r>
          </w:p>
          <w:p w14:paraId="5FA97D45" w14:textId="77777777" w:rsidR="00C90DC0" w:rsidRPr="001E24F4" w:rsidRDefault="00C90DC0" w:rsidP="001E24F4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454"/>
              <w:contextualSpacing w:val="0"/>
              <w:jc w:val="both"/>
              <w:rPr>
                <w:sz w:val="20"/>
                <w:szCs w:val="20"/>
              </w:rPr>
            </w:pPr>
          </w:p>
          <w:p w14:paraId="39440C90" w14:textId="3F7E319F" w:rsidR="00C90DC0" w:rsidRPr="001E24F4" w:rsidRDefault="00C60965" w:rsidP="001E24F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1E24F4">
              <w:rPr>
                <w:b/>
                <w:bCs/>
                <w:sz w:val="20"/>
                <w:szCs w:val="20"/>
              </w:rPr>
              <w:t>3.1.2.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="00E96FE6" w:rsidRPr="001E24F4">
              <w:rPr>
                <w:b/>
                <w:bCs/>
                <w:sz w:val="20"/>
                <w:szCs w:val="20"/>
              </w:rPr>
              <w:t>B</w:t>
            </w:r>
            <w:r w:rsidR="00C90DC0" w:rsidRPr="001E24F4">
              <w:rPr>
                <w:b/>
                <w:bCs/>
                <w:sz w:val="20"/>
                <w:szCs w:val="20"/>
              </w:rPr>
              <w:t>adania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="00C90DC0" w:rsidRPr="001E24F4">
              <w:rPr>
                <w:b/>
                <w:bCs/>
                <w:sz w:val="20"/>
                <w:szCs w:val="20"/>
              </w:rPr>
              <w:t>bezpośrednio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="00C90DC0" w:rsidRPr="001E24F4">
              <w:rPr>
                <w:b/>
                <w:bCs/>
                <w:sz w:val="20"/>
                <w:szCs w:val="20"/>
              </w:rPr>
              <w:t>przed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="00C90DC0" w:rsidRPr="001E24F4">
              <w:rPr>
                <w:b/>
                <w:bCs/>
                <w:sz w:val="20"/>
                <w:szCs w:val="20"/>
              </w:rPr>
              <w:t>podanie</w:t>
            </w:r>
            <w:r w:rsidRPr="001E24F4">
              <w:rPr>
                <w:b/>
                <w:bCs/>
                <w:sz w:val="20"/>
                <w:szCs w:val="20"/>
              </w:rPr>
              <w:t>m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="00C90DC0" w:rsidRPr="001E24F4">
              <w:rPr>
                <w:b/>
                <w:bCs/>
                <w:sz w:val="20"/>
                <w:szCs w:val="20"/>
              </w:rPr>
              <w:t>aksykabtagenu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="00C90DC0" w:rsidRPr="001E24F4">
              <w:rPr>
                <w:b/>
                <w:bCs/>
                <w:sz w:val="20"/>
                <w:szCs w:val="20"/>
              </w:rPr>
              <w:t>cyloleucelu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="00C90DC0" w:rsidRPr="001E24F4">
              <w:rPr>
                <w:b/>
                <w:bCs/>
                <w:sz w:val="20"/>
                <w:szCs w:val="20"/>
              </w:rPr>
              <w:t>albo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="00C90DC0" w:rsidRPr="001E24F4">
              <w:rPr>
                <w:b/>
                <w:bCs/>
                <w:sz w:val="20"/>
                <w:szCs w:val="20"/>
              </w:rPr>
              <w:t>tisagenlecleucelu</w:t>
            </w:r>
          </w:p>
          <w:p w14:paraId="7D6DAAFB" w14:textId="32D72B02" w:rsidR="00C90DC0" w:rsidRPr="001E24F4" w:rsidRDefault="00C90DC0" w:rsidP="001E24F4">
            <w:pPr>
              <w:pStyle w:val="Akapitzlist"/>
              <w:numPr>
                <w:ilvl w:val="2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morfologia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krwi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obwodowej;</w:t>
            </w:r>
          </w:p>
          <w:p w14:paraId="21761FAD" w14:textId="3EBB5A86" w:rsidR="00C90DC0" w:rsidRPr="001E24F4" w:rsidRDefault="00C90DC0" w:rsidP="001E24F4">
            <w:pPr>
              <w:pStyle w:val="Akapitzlist"/>
              <w:numPr>
                <w:ilvl w:val="2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białka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ostrej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fazy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(CRP,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ferrytyna);</w:t>
            </w:r>
          </w:p>
          <w:p w14:paraId="3F150D3F" w14:textId="3D7D118A" w:rsidR="00C90DC0" w:rsidRPr="001E24F4" w:rsidRDefault="002B1083" w:rsidP="001E24F4">
            <w:pPr>
              <w:pStyle w:val="Akapitzlist"/>
              <w:numPr>
                <w:ilvl w:val="2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oznaczenie</w:t>
            </w:r>
            <w:r w:rsidR="001E24F4">
              <w:rPr>
                <w:sz w:val="20"/>
                <w:szCs w:val="20"/>
              </w:rPr>
              <w:t xml:space="preserve"> </w:t>
            </w:r>
            <w:r w:rsidR="00C90DC0" w:rsidRPr="001E24F4">
              <w:rPr>
                <w:sz w:val="20"/>
                <w:szCs w:val="20"/>
              </w:rPr>
              <w:t>parametr</w:t>
            </w:r>
            <w:r w:rsidRPr="001E24F4">
              <w:rPr>
                <w:sz w:val="20"/>
                <w:szCs w:val="20"/>
              </w:rPr>
              <w:t>ów</w:t>
            </w:r>
            <w:r w:rsidR="001E24F4">
              <w:rPr>
                <w:sz w:val="20"/>
                <w:szCs w:val="20"/>
              </w:rPr>
              <w:t xml:space="preserve"> </w:t>
            </w:r>
            <w:r w:rsidR="00C90DC0" w:rsidRPr="001E24F4">
              <w:rPr>
                <w:sz w:val="20"/>
                <w:szCs w:val="20"/>
              </w:rPr>
              <w:t>krzepnięcia</w:t>
            </w:r>
            <w:r w:rsidR="001E24F4">
              <w:rPr>
                <w:sz w:val="20"/>
                <w:szCs w:val="20"/>
              </w:rPr>
              <w:t xml:space="preserve"> </w:t>
            </w:r>
            <w:r w:rsidR="00C90DC0" w:rsidRPr="001E24F4">
              <w:rPr>
                <w:sz w:val="20"/>
                <w:szCs w:val="20"/>
              </w:rPr>
              <w:t>krwi</w:t>
            </w:r>
            <w:r w:rsidR="001E24F4">
              <w:rPr>
                <w:sz w:val="20"/>
                <w:szCs w:val="20"/>
              </w:rPr>
              <w:t xml:space="preserve"> </w:t>
            </w:r>
            <w:r w:rsidR="00C90DC0" w:rsidRPr="001E24F4">
              <w:rPr>
                <w:sz w:val="20"/>
                <w:szCs w:val="20"/>
              </w:rPr>
              <w:t>(PT,</w:t>
            </w:r>
            <w:r w:rsidR="001E24F4">
              <w:rPr>
                <w:sz w:val="20"/>
                <w:szCs w:val="20"/>
              </w:rPr>
              <w:t xml:space="preserve"> </w:t>
            </w:r>
            <w:r w:rsidR="00C90DC0" w:rsidRPr="001E24F4">
              <w:rPr>
                <w:sz w:val="20"/>
                <w:szCs w:val="20"/>
              </w:rPr>
              <w:t>aPTT,</w:t>
            </w:r>
            <w:r w:rsidR="001E24F4">
              <w:rPr>
                <w:sz w:val="20"/>
                <w:szCs w:val="20"/>
              </w:rPr>
              <w:t xml:space="preserve"> </w:t>
            </w:r>
            <w:r w:rsidR="00C90DC0" w:rsidRPr="001E24F4">
              <w:rPr>
                <w:sz w:val="20"/>
                <w:szCs w:val="20"/>
              </w:rPr>
              <w:t>INR,</w:t>
            </w:r>
            <w:r w:rsidR="001E24F4">
              <w:rPr>
                <w:sz w:val="20"/>
                <w:szCs w:val="20"/>
              </w:rPr>
              <w:t xml:space="preserve"> </w:t>
            </w:r>
            <w:r w:rsidR="00C90DC0" w:rsidRPr="001E24F4">
              <w:rPr>
                <w:sz w:val="20"/>
                <w:szCs w:val="20"/>
              </w:rPr>
              <w:t>fibrynogen);</w:t>
            </w:r>
          </w:p>
          <w:p w14:paraId="61348347" w14:textId="2FBEF3BB" w:rsidR="00C90DC0" w:rsidRPr="001E24F4" w:rsidRDefault="00C90DC0" w:rsidP="001E24F4">
            <w:pPr>
              <w:pStyle w:val="Akapitzlist"/>
              <w:numPr>
                <w:ilvl w:val="2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ocena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funkcji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nerek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(jak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wyżej);</w:t>
            </w:r>
          </w:p>
          <w:p w14:paraId="4BF2DE56" w14:textId="7EBED174" w:rsidR="00C90DC0" w:rsidRPr="001E24F4" w:rsidRDefault="00C90DC0" w:rsidP="001E24F4">
            <w:pPr>
              <w:pStyle w:val="Akapitzlist"/>
              <w:numPr>
                <w:ilvl w:val="2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ocena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funkcji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wątroby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(jak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wyżej).</w:t>
            </w:r>
          </w:p>
          <w:p w14:paraId="52FF0803" w14:textId="77777777" w:rsidR="00C60965" w:rsidRPr="001E24F4" w:rsidRDefault="00C60965" w:rsidP="001E24F4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454"/>
              <w:contextualSpacing w:val="0"/>
              <w:jc w:val="both"/>
              <w:rPr>
                <w:sz w:val="20"/>
                <w:szCs w:val="20"/>
              </w:rPr>
            </w:pPr>
          </w:p>
          <w:p w14:paraId="5A0446DA" w14:textId="0C6A7F41" w:rsidR="00C90DC0" w:rsidRPr="001E24F4" w:rsidRDefault="00C60965" w:rsidP="001E24F4">
            <w:pPr>
              <w:spacing w:after="60" w:line="276" w:lineRule="auto"/>
              <w:jc w:val="both"/>
              <w:rPr>
                <w:b/>
                <w:sz w:val="20"/>
                <w:szCs w:val="20"/>
              </w:rPr>
            </w:pPr>
            <w:r w:rsidRPr="001E24F4">
              <w:rPr>
                <w:b/>
                <w:bCs/>
                <w:sz w:val="20"/>
                <w:szCs w:val="20"/>
              </w:rPr>
              <w:lastRenderedPageBreak/>
              <w:t>3.1.3.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B</w:t>
            </w:r>
            <w:r w:rsidR="00C90DC0" w:rsidRPr="001E24F4">
              <w:rPr>
                <w:b/>
                <w:bCs/>
                <w:sz w:val="20"/>
                <w:szCs w:val="20"/>
              </w:rPr>
              <w:t>adania</w:t>
            </w:r>
            <w:r w:rsidR="001E24F4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90DC0" w:rsidRPr="001E24F4">
              <w:rPr>
                <w:b/>
                <w:bCs/>
                <w:color w:val="000000" w:themeColor="text1"/>
                <w:sz w:val="20"/>
                <w:szCs w:val="20"/>
              </w:rPr>
              <w:t>w</w:t>
            </w:r>
            <w:r w:rsidR="001E24F4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90DC0" w:rsidRPr="001E24F4">
              <w:rPr>
                <w:b/>
                <w:bCs/>
                <w:color w:val="000000" w:themeColor="text1"/>
                <w:sz w:val="20"/>
                <w:szCs w:val="20"/>
              </w:rPr>
              <w:t>dniu</w:t>
            </w:r>
            <w:r w:rsidR="001E24F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C90DC0" w:rsidRPr="001E24F4">
              <w:rPr>
                <w:b/>
                <w:color w:val="000000" w:themeColor="text1"/>
                <w:sz w:val="20"/>
                <w:szCs w:val="20"/>
              </w:rPr>
              <w:t>następnym</w:t>
            </w:r>
            <w:r w:rsidR="001E24F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C90DC0" w:rsidRPr="001E24F4">
              <w:rPr>
                <w:b/>
                <w:color w:val="000000" w:themeColor="text1"/>
                <w:sz w:val="20"/>
                <w:szCs w:val="20"/>
              </w:rPr>
              <w:t>po</w:t>
            </w:r>
            <w:r w:rsidR="001E24F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C90DC0" w:rsidRPr="001E24F4">
              <w:rPr>
                <w:b/>
                <w:color w:val="000000" w:themeColor="text1"/>
                <w:sz w:val="20"/>
                <w:szCs w:val="20"/>
              </w:rPr>
              <w:t>podaniu</w:t>
            </w:r>
            <w:r w:rsidR="001E24F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C90DC0" w:rsidRPr="001E24F4">
              <w:rPr>
                <w:b/>
                <w:bCs/>
                <w:sz w:val="20"/>
                <w:szCs w:val="20"/>
              </w:rPr>
              <w:t>aksykabtagenu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="00C90DC0" w:rsidRPr="001E24F4">
              <w:rPr>
                <w:b/>
                <w:bCs/>
                <w:sz w:val="20"/>
                <w:szCs w:val="20"/>
              </w:rPr>
              <w:t>cyloleucelu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="00C90DC0" w:rsidRPr="001E24F4">
              <w:rPr>
                <w:b/>
                <w:bCs/>
                <w:sz w:val="20"/>
                <w:szCs w:val="20"/>
              </w:rPr>
              <w:t>albo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="00C90DC0" w:rsidRPr="001E24F4">
              <w:rPr>
                <w:b/>
                <w:bCs/>
                <w:sz w:val="20"/>
                <w:szCs w:val="20"/>
              </w:rPr>
              <w:t>tisagenlecleucelu</w:t>
            </w:r>
          </w:p>
          <w:p w14:paraId="037DB62C" w14:textId="3C323B25" w:rsidR="00C90DC0" w:rsidRPr="001E24F4" w:rsidRDefault="00C90DC0" w:rsidP="001E24F4">
            <w:pPr>
              <w:pStyle w:val="Akapitzlist"/>
              <w:numPr>
                <w:ilvl w:val="2"/>
                <w:numId w:val="1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morfologia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krwi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obwodowej;</w:t>
            </w:r>
          </w:p>
          <w:p w14:paraId="22860660" w14:textId="5C658745" w:rsidR="00C90DC0" w:rsidRPr="001E24F4" w:rsidRDefault="002B1083" w:rsidP="001E24F4">
            <w:pPr>
              <w:pStyle w:val="Akapitzlist"/>
              <w:numPr>
                <w:ilvl w:val="2"/>
                <w:numId w:val="1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oznaczenie</w:t>
            </w:r>
            <w:r w:rsidR="001E24F4">
              <w:rPr>
                <w:sz w:val="20"/>
                <w:szCs w:val="20"/>
              </w:rPr>
              <w:t xml:space="preserve"> </w:t>
            </w:r>
            <w:r w:rsidR="00C90DC0" w:rsidRPr="001E24F4">
              <w:rPr>
                <w:sz w:val="20"/>
                <w:szCs w:val="20"/>
              </w:rPr>
              <w:t>parametrów</w:t>
            </w:r>
            <w:r w:rsidR="001E24F4">
              <w:rPr>
                <w:sz w:val="20"/>
                <w:szCs w:val="20"/>
              </w:rPr>
              <w:t xml:space="preserve"> </w:t>
            </w:r>
            <w:r w:rsidR="00C90DC0" w:rsidRPr="001E24F4">
              <w:rPr>
                <w:sz w:val="20"/>
                <w:szCs w:val="20"/>
              </w:rPr>
              <w:t>krzepnięcia</w:t>
            </w:r>
            <w:r w:rsidR="001E24F4">
              <w:rPr>
                <w:sz w:val="20"/>
                <w:szCs w:val="20"/>
              </w:rPr>
              <w:t xml:space="preserve"> </w:t>
            </w:r>
            <w:r w:rsidR="00C90DC0" w:rsidRPr="001E24F4">
              <w:rPr>
                <w:sz w:val="20"/>
                <w:szCs w:val="20"/>
              </w:rPr>
              <w:t>krwi</w:t>
            </w:r>
            <w:r w:rsidR="001E24F4">
              <w:rPr>
                <w:sz w:val="20"/>
                <w:szCs w:val="20"/>
              </w:rPr>
              <w:t xml:space="preserve"> </w:t>
            </w:r>
            <w:r w:rsidR="00C90DC0" w:rsidRPr="001E24F4">
              <w:rPr>
                <w:sz w:val="20"/>
                <w:szCs w:val="20"/>
              </w:rPr>
              <w:t>(PT,</w:t>
            </w:r>
            <w:r w:rsidR="001E24F4">
              <w:rPr>
                <w:sz w:val="20"/>
                <w:szCs w:val="20"/>
              </w:rPr>
              <w:t xml:space="preserve"> </w:t>
            </w:r>
            <w:r w:rsidR="00C90DC0" w:rsidRPr="001E24F4">
              <w:rPr>
                <w:sz w:val="20"/>
                <w:szCs w:val="20"/>
              </w:rPr>
              <w:t>aPTT,</w:t>
            </w:r>
            <w:r w:rsidR="001E24F4">
              <w:rPr>
                <w:sz w:val="20"/>
                <w:szCs w:val="20"/>
              </w:rPr>
              <w:t xml:space="preserve"> </w:t>
            </w:r>
            <w:r w:rsidR="00C90DC0" w:rsidRPr="001E24F4">
              <w:rPr>
                <w:sz w:val="20"/>
                <w:szCs w:val="20"/>
              </w:rPr>
              <w:t>INR,</w:t>
            </w:r>
            <w:r w:rsidR="001E24F4">
              <w:rPr>
                <w:sz w:val="20"/>
                <w:szCs w:val="20"/>
              </w:rPr>
              <w:t xml:space="preserve"> </w:t>
            </w:r>
            <w:r w:rsidR="000B59FE" w:rsidRPr="001E24F4">
              <w:rPr>
                <w:sz w:val="20"/>
                <w:szCs w:val="20"/>
              </w:rPr>
              <w:t>D-dimer,</w:t>
            </w:r>
            <w:r w:rsidR="001E24F4">
              <w:rPr>
                <w:sz w:val="20"/>
                <w:szCs w:val="20"/>
              </w:rPr>
              <w:t xml:space="preserve"> </w:t>
            </w:r>
            <w:r w:rsidR="00C90DC0" w:rsidRPr="001E24F4">
              <w:rPr>
                <w:sz w:val="20"/>
                <w:szCs w:val="20"/>
              </w:rPr>
              <w:t>fibrynogen);</w:t>
            </w:r>
          </w:p>
          <w:p w14:paraId="13197528" w14:textId="308AB737" w:rsidR="00C60965" w:rsidRPr="001E24F4" w:rsidRDefault="00C90DC0" w:rsidP="001E24F4">
            <w:pPr>
              <w:pStyle w:val="Akapitzlist"/>
              <w:numPr>
                <w:ilvl w:val="2"/>
                <w:numId w:val="1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dodatkowo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sytuacji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podejrzenia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wystąpienia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zespołu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uwalniania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cytokin</w:t>
            </w:r>
            <w:r w:rsidR="001E24F4">
              <w:rPr>
                <w:sz w:val="20"/>
                <w:szCs w:val="20"/>
              </w:rPr>
              <w:t xml:space="preserve"> </w:t>
            </w:r>
            <w:r w:rsidR="002B1083" w:rsidRPr="001E24F4">
              <w:rPr>
                <w:sz w:val="20"/>
                <w:szCs w:val="20"/>
              </w:rPr>
              <w:t>(CRS)</w:t>
            </w:r>
            <w:r w:rsidRPr="001E24F4">
              <w:rPr>
                <w:sz w:val="20"/>
                <w:szCs w:val="20"/>
              </w:rPr>
              <w:t>: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CRP,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ferrytyna</w:t>
            </w:r>
            <w:r w:rsidR="00B5059B" w:rsidRPr="001E24F4">
              <w:rPr>
                <w:sz w:val="20"/>
                <w:szCs w:val="20"/>
              </w:rPr>
              <w:t>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LDH</w:t>
            </w:r>
            <w:r w:rsidR="00B5059B" w:rsidRPr="001E24F4">
              <w:rPr>
                <w:sz w:val="20"/>
                <w:szCs w:val="20"/>
              </w:rPr>
              <w:t>.</w:t>
            </w:r>
          </w:p>
          <w:p w14:paraId="2D16D4FD" w14:textId="77777777" w:rsidR="00C60965" w:rsidRPr="001E24F4" w:rsidRDefault="00C60965" w:rsidP="001E24F4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454"/>
              <w:contextualSpacing w:val="0"/>
              <w:jc w:val="both"/>
              <w:rPr>
                <w:sz w:val="20"/>
                <w:szCs w:val="20"/>
              </w:rPr>
            </w:pPr>
          </w:p>
          <w:p w14:paraId="664B88BF" w14:textId="1F7B7409" w:rsidR="00C60965" w:rsidRPr="001E24F4" w:rsidRDefault="00C60965" w:rsidP="001E24F4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1E24F4">
              <w:rPr>
                <w:b/>
                <w:bCs/>
                <w:sz w:val="20"/>
                <w:szCs w:val="20"/>
              </w:rPr>
              <w:t>Monitorowanie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leczenia</w:t>
            </w:r>
          </w:p>
          <w:p w14:paraId="72C08523" w14:textId="6C4B7B2C" w:rsidR="00C60965" w:rsidRPr="001E24F4" w:rsidRDefault="00C60965" w:rsidP="001E24F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1E24F4">
              <w:rPr>
                <w:b/>
                <w:bCs/>
                <w:sz w:val="20"/>
                <w:szCs w:val="20"/>
              </w:rPr>
              <w:t>3.2.1.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Monitorowanie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bezpieczeństwa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po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podaniu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CAR-T</w:t>
            </w:r>
          </w:p>
          <w:p w14:paraId="3846F8B7" w14:textId="680E17E1" w:rsidR="003C3832" w:rsidRPr="001E24F4" w:rsidRDefault="003C3832" w:rsidP="001E24F4">
            <w:pPr>
              <w:pStyle w:val="Akapitzlist"/>
              <w:numPr>
                <w:ilvl w:val="2"/>
                <w:numId w:val="1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codzienne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monitorowanie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pod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kątem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wystąpienia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objawów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podmiotowych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przedmiotowych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CRS;</w:t>
            </w:r>
          </w:p>
          <w:p w14:paraId="2B537340" w14:textId="3062241F" w:rsidR="003C3832" w:rsidRPr="001E24F4" w:rsidRDefault="003C3832" w:rsidP="001E24F4">
            <w:pPr>
              <w:pStyle w:val="Akapitzlist"/>
              <w:numPr>
                <w:ilvl w:val="2"/>
                <w:numId w:val="1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przypadku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podejrzenia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wystąpienia</w:t>
            </w:r>
            <w:r w:rsidR="001E24F4">
              <w:rPr>
                <w:sz w:val="20"/>
                <w:szCs w:val="20"/>
              </w:rPr>
              <w:t xml:space="preserve"> </w:t>
            </w:r>
            <w:r w:rsidR="002B1083" w:rsidRPr="001E24F4">
              <w:rPr>
                <w:sz w:val="20"/>
                <w:szCs w:val="20"/>
              </w:rPr>
              <w:t>CRS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należy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(w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uzasadnionych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przypadkach)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wykonywać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badania: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CRP,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ferrytyna,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fibrynogen,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LDH,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PT,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aPTT,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INR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oraz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D-dimer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(przy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zaistnieniu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innych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wskazań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wykonywać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badania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zgodnie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nimi);</w:t>
            </w:r>
          </w:p>
          <w:p w14:paraId="4CF74B22" w14:textId="281C6737" w:rsidR="003C3832" w:rsidRPr="001E24F4" w:rsidRDefault="003C3832" w:rsidP="001E24F4">
            <w:pPr>
              <w:pStyle w:val="Akapitzlist"/>
              <w:numPr>
                <w:ilvl w:val="2"/>
                <w:numId w:val="1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po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upływie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pierwszych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10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dni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od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infuzji,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dalszym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monitorowaniu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pacjenta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pod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kątem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CRS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decyduje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lekarz;</w:t>
            </w:r>
          </w:p>
          <w:p w14:paraId="330226A6" w14:textId="57E232DD" w:rsidR="003C3832" w:rsidRPr="001E24F4" w:rsidRDefault="003C3832" w:rsidP="001E24F4">
            <w:pPr>
              <w:pStyle w:val="Akapitzlist"/>
              <w:numPr>
                <w:ilvl w:val="2"/>
                <w:numId w:val="1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morfologia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krwi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obwodowej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badania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biochemiczne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(AST,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ALT,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bilirubina,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mocznik,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kreatynina,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elektrolity)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-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najmniej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2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razy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tygodniu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ciągu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pierwszych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2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tygodni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od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podania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aksykabtagenu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cyloleucel</w:t>
            </w:r>
            <w:r w:rsidR="002B1083" w:rsidRPr="001E24F4">
              <w:rPr>
                <w:sz w:val="20"/>
                <w:szCs w:val="20"/>
              </w:rPr>
              <w:t>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albo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tisagenlecleucelu,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następnie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zależności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od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sytuacji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klinicznej.</w:t>
            </w:r>
          </w:p>
          <w:p w14:paraId="08505A1F" w14:textId="5580E36C" w:rsidR="003C3832" w:rsidRPr="001E24F4" w:rsidRDefault="003C3832" w:rsidP="001E24F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4CA190B5" w14:textId="1C3DC64E" w:rsidR="003C3832" w:rsidRPr="001E24F4" w:rsidRDefault="003C3832" w:rsidP="001E24F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1E24F4">
              <w:rPr>
                <w:b/>
                <w:bCs/>
                <w:sz w:val="20"/>
                <w:szCs w:val="20"/>
              </w:rPr>
              <w:t>3.2.2.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Monitorowanie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skuteczności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leczenia</w:t>
            </w:r>
          </w:p>
          <w:p w14:paraId="3437F658" w14:textId="286775DD" w:rsidR="002779AA" w:rsidRPr="001E24F4" w:rsidRDefault="002779AA" w:rsidP="001E24F4">
            <w:pPr>
              <w:pStyle w:val="Akapitzlist"/>
              <w:numPr>
                <w:ilvl w:val="2"/>
                <w:numId w:val="1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co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3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miesiące:</w:t>
            </w:r>
          </w:p>
          <w:p w14:paraId="2FDDC5AC" w14:textId="539F450A" w:rsidR="00E83F1B" w:rsidRPr="001E24F4" w:rsidRDefault="002779AA" w:rsidP="001E24F4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454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-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monitorowanie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zastosowaniem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CT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NMR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PET-CT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przez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okres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12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miesięcy</w:t>
            </w:r>
            <w:r w:rsidR="001E24F4">
              <w:rPr>
                <w:sz w:val="20"/>
                <w:szCs w:val="20"/>
              </w:rPr>
              <w:t xml:space="preserve"> </w:t>
            </w:r>
            <w:r w:rsidR="00934E8E" w:rsidRPr="001E24F4">
              <w:rPr>
                <w:sz w:val="20"/>
                <w:szCs w:val="20"/>
              </w:rPr>
              <w:t>od</w:t>
            </w:r>
            <w:r w:rsidR="001E24F4">
              <w:rPr>
                <w:sz w:val="20"/>
                <w:szCs w:val="20"/>
              </w:rPr>
              <w:t xml:space="preserve"> </w:t>
            </w:r>
            <w:r w:rsidR="00934E8E" w:rsidRPr="001E24F4">
              <w:rPr>
                <w:sz w:val="20"/>
                <w:szCs w:val="20"/>
              </w:rPr>
              <w:t>podania</w:t>
            </w:r>
            <w:r w:rsidR="001E24F4">
              <w:rPr>
                <w:sz w:val="20"/>
                <w:szCs w:val="20"/>
              </w:rPr>
              <w:t xml:space="preserve"> </w:t>
            </w:r>
            <w:r w:rsidR="00934E8E" w:rsidRPr="001E24F4">
              <w:rPr>
                <w:sz w:val="20"/>
                <w:szCs w:val="20"/>
              </w:rPr>
              <w:t>CAR-T.</w:t>
            </w:r>
          </w:p>
        </w:tc>
      </w:tr>
      <w:tr w:rsidR="00237DE4" w:rsidRPr="007E3BCE" w14:paraId="345EE75B" w14:textId="77777777" w:rsidTr="009F3137">
        <w:trPr>
          <w:trHeight w:val="20"/>
        </w:trPr>
        <w:tc>
          <w:tcPr>
            <w:tcW w:w="1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2D03D" w14:textId="7CFBD8EB" w:rsidR="003F2DE2" w:rsidRPr="001E24F4" w:rsidRDefault="00237DE4" w:rsidP="001E24F4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1E24F4">
              <w:rPr>
                <w:b/>
                <w:bCs/>
                <w:sz w:val="20"/>
                <w:szCs w:val="20"/>
              </w:rPr>
              <w:lastRenderedPageBreak/>
              <w:t>Leczenie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chorych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na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chłoniaka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z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komórek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płaszcza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="003F2DE2" w:rsidRPr="001E24F4">
              <w:rPr>
                <w:b/>
                <w:bCs/>
                <w:sz w:val="20"/>
                <w:szCs w:val="20"/>
              </w:rPr>
              <w:t>(MCL)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="003F2DE2" w:rsidRPr="001E24F4">
              <w:rPr>
                <w:b/>
                <w:bCs/>
                <w:sz w:val="20"/>
                <w:szCs w:val="20"/>
              </w:rPr>
              <w:t>(ICD-10: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="003F2DE2" w:rsidRPr="001E24F4">
              <w:rPr>
                <w:b/>
                <w:bCs/>
                <w:sz w:val="20"/>
                <w:szCs w:val="20"/>
              </w:rPr>
              <w:t>C85.7)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lenalidomidem</w:t>
            </w:r>
          </w:p>
          <w:p w14:paraId="2DE46FDA" w14:textId="7BB65307" w:rsidR="00237DE4" w:rsidRPr="001E24F4" w:rsidRDefault="003F2DE2" w:rsidP="001E24F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1E24F4">
              <w:rPr>
                <w:b/>
                <w:bCs/>
                <w:sz w:val="20"/>
                <w:szCs w:val="20"/>
              </w:rPr>
              <w:t>4.1.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="00237DE4" w:rsidRPr="001E24F4">
              <w:rPr>
                <w:b/>
                <w:bCs/>
                <w:sz w:val="20"/>
                <w:szCs w:val="20"/>
              </w:rPr>
              <w:t>Kryteria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="00237DE4" w:rsidRPr="001E24F4">
              <w:rPr>
                <w:b/>
                <w:bCs/>
                <w:sz w:val="20"/>
                <w:szCs w:val="20"/>
              </w:rPr>
              <w:t>kwalifikacji</w:t>
            </w:r>
          </w:p>
          <w:p w14:paraId="5273D9A7" w14:textId="72F126C0" w:rsidR="00237DE4" w:rsidRPr="001E24F4" w:rsidRDefault="00237DE4" w:rsidP="001E24F4">
            <w:pPr>
              <w:numPr>
                <w:ilvl w:val="2"/>
                <w:numId w:val="26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oporny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nawrotowy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chłoniak</w:t>
            </w:r>
            <w:r w:rsidR="001E24F4">
              <w:rPr>
                <w:sz w:val="20"/>
                <w:szCs w:val="20"/>
              </w:rPr>
              <w:t xml:space="preserve"> </w:t>
            </w:r>
            <w:r w:rsidR="00561A5F" w:rsidRPr="001E24F4">
              <w:rPr>
                <w:sz w:val="20"/>
                <w:szCs w:val="20"/>
              </w:rPr>
              <w:t>z</w:t>
            </w:r>
            <w:r w:rsidR="001E24F4">
              <w:rPr>
                <w:sz w:val="20"/>
                <w:szCs w:val="20"/>
              </w:rPr>
              <w:t xml:space="preserve"> </w:t>
            </w:r>
            <w:r w:rsidR="00561A5F" w:rsidRPr="001E24F4">
              <w:rPr>
                <w:sz w:val="20"/>
                <w:szCs w:val="20"/>
              </w:rPr>
              <w:t>komórek</w:t>
            </w:r>
            <w:r w:rsidR="001E24F4">
              <w:rPr>
                <w:sz w:val="20"/>
                <w:szCs w:val="20"/>
              </w:rPr>
              <w:t xml:space="preserve"> </w:t>
            </w:r>
            <w:r w:rsidR="00561A5F" w:rsidRPr="001E24F4">
              <w:rPr>
                <w:sz w:val="20"/>
                <w:szCs w:val="20"/>
              </w:rPr>
              <w:t>płaszcza</w:t>
            </w:r>
            <w:r w:rsidR="001E24F4">
              <w:rPr>
                <w:sz w:val="20"/>
                <w:szCs w:val="20"/>
              </w:rPr>
              <w:t xml:space="preserve"> </w:t>
            </w:r>
            <w:r w:rsidR="00CB21EB" w:rsidRPr="001E24F4">
              <w:rPr>
                <w:sz w:val="20"/>
                <w:szCs w:val="20"/>
              </w:rPr>
              <w:t>(MCL)</w:t>
            </w:r>
            <w:r w:rsidRPr="001E24F4">
              <w:rPr>
                <w:sz w:val="20"/>
                <w:szCs w:val="20"/>
              </w:rPr>
              <w:t>;</w:t>
            </w:r>
          </w:p>
          <w:p w14:paraId="4171AD91" w14:textId="68E86BCD" w:rsidR="00237DE4" w:rsidRPr="001E24F4" w:rsidRDefault="00237DE4" w:rsidP="001E24F4">
            <w:pPr>
              <w:numPr>
                <w:ilvl w:val="2"/>
                <w:numId w:val="26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wiek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≥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18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rok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życia;</w:t>
            </w:r>
          </w:p>
          <w:p w14:paraId="47C021A5" w14:textId="09F3D198" w:rsidR="00237DE4" w:rsidRPr="001E24F4" w:rsidRDefault="00237DE4" w:rsidP="001E24F4">
            <w:pPr>
              <w:numPr>
                <w:ilvl w:val="2"/>
                <w:numId w:val="26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stan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sprawności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według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ECOG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0-2</w:t>
            </w:r>
            <w:r w:rsidR="004300F6" w:rsidRPr="001E24F4">
              <w:rPr>
                <w:sz w:val="20"/>
                <w:szCs w:val="20"/>
              </w:rPr>
              <w:t>.</w:t>
            </w:r>
          </w:p>
          <w:p w14:paraId="30D79EDE" w14:textId="36BD6D3D" w:rsidR="00237DE4" w:rsidRPr="001E24F4" w:rsidRDefault="00237DE4" w:rsidP="001E24F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Kryteria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kwalifikacji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muszą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być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spełnione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łącznie.</w:t>
            </w:r>
          </w:p>
          <w:p w14:paraId="50A159A5" w14:textId="6533AFF7" w:rsidR="00561A5F" w:rsidRPr="001E24F4" w:rsidRDefault="00237DE4" w:rsidP="001E24F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Ponadto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programu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lekowego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kwalifikowani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są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również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pacjenci,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którzy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byli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leczeni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ramach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innego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sposobu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finansowania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terapii,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pod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warunkiem,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że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chwili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rozpoczęcia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leczenia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spełniali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kryteria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kwalifikacji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programu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lekowego.</w:t>
            </w:r>
          </w:p>
          <w:p w14:paraId="7F3B9356" w14:textId="77777777" w:rsidR="00561A5F" w:rsidRPr="001E24F4" w:rsidRDefault="00561A5F" w:rsidP="001E24F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5F63F4AC" w14:textId="791DD762" w:rsidR="00561A5F" w:rsidRPr="001E24F4" w:rsidRDefault="00561A5F" w:rsidP="001E24F4">
            <w:pPr>
              <w:pStyle w:val="Akapitzlist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b/>
                <w:bCs/>
                <w:sz w:val="20"/>
                <w:szCs w:val="20"/>
              </w:rPr>
              <w:t>Określenie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czasu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leczenia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w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programie</w:t>
            </w:r>
          </w:p>
          <w:p w14:paraId="5FAF4035" w14:textId="4E5B20DC" w:rsidR="00561A5F" w:rsidRPr="001E24F4" w:rsidRDefault="00561A5F" w:rsidP="001E24F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Cs/>
                <w:sz w:val="20"/>
                <w:szCs w:val="20"/>
              </w:rPr>
            </w:pPr>
            <w:r w:rsidRPr="001E24F4">
              <w:rPr>
                <w:bCs/>
                <w:sz w:val="20"/>
                <w:szCs w:val="20"/>
              </w:rPr>
              <w:t>Leczenie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lenalidomidem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kontynuuje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się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do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progresji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choroby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(z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zastrzeżeniem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pkt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4.4.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niżej)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lub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wystąpienia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nietolerancji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leku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mimo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lastRenderedPageBreak/>
              <w:t>zastosowania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redukcji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dawki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zgodnie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z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zaleceniami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Charakterystyki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Produktu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Leczniczego.</w:t>
            </w:r>
          </w:p>
          <w:p w14:paraId="10CA59D8" w14:textId="77777777" w:rsidR="00561A5F" w:rsidRPr="001E24F4" w:rsidRDefault="00561A5F" w:rsidP="001E24F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Cs/>
                <w:sz w:val="20"/>
                <w:szCs w:val="20"/>
              </w:rPr>
            </w:pPr>
          </w:p>
          <w:p w14:paraId="75E15AC3" w14:textId="31CCA0F7" w:rsidR="00561A5F" w:rsidRPr="001E24F4" w:rsidRDefault="00561A5F" w:rsidP="001E24F4">
            <w:pPr>
              <w:pStyle w:val="Akapitzlist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1E24F4">
              <w:rPr>
                <w:b/>
                <w:bCs/>
                <w:sz w:val="20"/>
                <w:szCs w:val="20"/>
              </w:rPr>
              <w:t>Kryteria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stanowiące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przeciwwskazania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do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włączenia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do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programu</w:t>
            </w:r>
          </w:p>
          <w:p w14:paraId="6163DC5B" w14:textId="72BD61BA" w:rsidR="00561A5F" w:rsidRPr="001E24F4" w:rsidRDefault="00561A5F" w:rsidP="001E24F4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Obecne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najmniej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jedno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poniższych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kryteriów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podczas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kwalifikacji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programu:</w:t>
            </w:r>
          </w:p>
          <w:p w14:paraId="68202E16" w14:textId="518F331E" w:rsidR="00455C10" w:rsidRPr="001E24F4" w:rsidRDefault="00561A5F" w:rsidP="001E24F4">
            <w:pPr>
              <w:pStyle w:val="Akapitzlist"/>
              <w:numPr>
                <w:ilvl w:val="2"/>
                <w:numId w:val="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nadwrażliwość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na</w:t>
            </w:r>
            <w:r w:rsidR="001E24F4">
              <w:rPr>
                <w:sz w:val="20"/>
                <w:szCs w:val="20"/>
              </w:rPr>
              <w:t xml:space="preserve"> </w:t>
            </w:r>
            <w:r w:rsidR="00A77CF6" w:rsidRPr="001E24F4">
              <w:rPr>
                <w:sz w:val="20"/>
                <w:szCs w:val="20"/>
              </w:rPr>
              <w:t>lenalidomid</w:t>
            </w:r>
            <w:r w:rsidR="001E24F4">
              <w:rPr>
                <w:sz w:val="20"/>
                <w:szCs w:val="20"/>
              </w:rPr>
              <w:t xml:space="preserve"> </w:t>
            </w:r>
            <w:r w:rsidR="00A77CF6" w:rsidRPr="001E24F4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="00A77CF6" w:rsidRPr="001E24F4">
              <w:rPr>
                <w:sz w:val="20"/>
                <w:szCs w:val="20"/>
              </w:rPr>
              <w:t>którąkolwiek</w:t>
            </w:r>
            <w:r w:rsidR="001E24F4">
              <w:rPr>
                <w:sz w:val="20"/>
                <w:szCs w:val="20"/>
              </w:rPr>
              <w:t xml:space="preserve"> </w:t>
            </w:r>
            <w:r w:rsidR="00A77CF6" w:rsidRPr="001E24F4">
              <w:rPr>
                <w:sz w:val="20"/>
                <w:szCs w:val="20"/>
              </w:rPr>
              <w:t>substancję</w:t>
            </w:r>
            <w:r w:rsidR="001E24F4">
              <w:rPr>
                <w:sz w:val="20"/>
                <w:szCs w:val="20"/>
              </w:rPr>
              <w:t xml:space="preserve"> </w:t>
            </w:r>
            <w:r w:rsidR="00A77CF6" w:rsidRPr="001E24F4">
              <w:rPr>
                <w:sz w:val="20"/>
                <w:szCs w:val="20"/>
              </w:rPr>
              <w:t>pomocniczą</w:t>
            </w:r>
            <w:r w:rsidRPr="001E24F4">
              <w:rPr>
                <w:sz w:val="20"/>
                <w:szCs w:val="20"/>
              </w:rPr>
              <w:t>;</w:t>
            </w:r>
          </w:p>
          <w:p w14:paraId="6FF3BCE6" w14:textId="54744CD0" w:rsidR="00455C10" w:rsidRPr="001E24F4" w:rsidRDefault="00561A5F" w:rsidP="001E24F4">
            <w:pPr>
              <w:pStyle w:val="Akapitzlist"/>
              <w:numPr>
                <w:ilvl w:val="2"/>
                <w:numId w:val="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ciąża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karmienie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piersią;</w:t>
            </w:r>
          </w:p>
          <w:p w14:paraId="0B832966" w14:textId="24615BC7" w:rsidR="004300F6" w:rsidRPr="001E24F4" w:rsidRDefault="004300F6" w:rsidP="001E24F4">
            <w:pPr>
              <w:pStyle w:val="Akapitzlist"/>
              <w:numPr>
                <w:ilvl w:val="2"/>
                <w:numId w:val="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niemożność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stosowania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się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programu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zapobiegania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ciąży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(dotyczy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kobiet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mężczyzn)</w:t>
            </w:r>
            <w:r w:rsidR="00DA22AD" w:rsidRPr="001E24F4">
              <w:rPr>
                <w:sz w:val="20"/>
                <w:szCs w:val="20"/>
              </w:rPr>
              <w:t>.</w:t>
            </w:r>
          </w:p>
          <w:p w14:paraId="23C91D2E" w14:textId="4A868BE8" w:rsidR="00315E32" w:rsidRPr="001E24F4" w:rsidRDefault="00315E32" w:rsidP="001E24F4">
            <w:pPr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07050A8B" w14:textId="7CB90BAB" w:rsidR="00315E32" w:rsidRPr="001E24F4" w:rsidRDefault="00315E32" w:rsidP="001E24F4">
            <w:pPr>
              <w:pStyle w:val="Akapitzlist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b/>
                <w:bCs/>
                <w:sz w:val="20"/>
                <w:szCs w:val="20"/>
              </w:rPr>
              <w:t>Kryteria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wyłączenia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z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programu</w:t>
            </w:r>
          </w:p>
          <w:p w14:paraId="63257BEC" w14:textId="7DAFA2B3" w:rsidR="00E85B63" w:rsidRPr="001E24F4" w:rsidRDefault="00315E32" w:rsidP="001E24F4">
            <w:pPr>
              <w:pStyle w:val="Akapitzlist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progresja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choroby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więcej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niż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2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cyklach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leczenia;</w:t>
            </w:r>
          </w:p>
          <w:p w14:paraId="0FCF0C2E" w14:textId="1AA87896" w:rsidR="00823E1D" w:rsidRPr="001E24F4" w:rsidRDefault="00315E32" w:rsidP="001E24F4">
            <w:pPr>
              <w:pStyle w:val="Akapitzlist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brak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najmniej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częściowej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odpowiedzi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6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cyklach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leczenia.</w:t>
            </w:r>
          </w:p>
        </w:tc>
        <w:tc>
          <w:tcPr>
            <w:tcW w:w="1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235A0" w14:textId="5D7F7681" w:rsidR="00237DE4" w:rsidRPr="001E24F4" w:rsidRDefault="00237DE4" w:rsidP="001E24F4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1E24F4">
              <w:rPr>
                <w:b/>
                <w:bCs/>
                <w:sz w:val="20"/>
                <w:szCs w:val="20"/>
              </w:rPr>
              <w:lastRenderedPageBreak/>
              <w:t>Leczenie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chorych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na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="003F2DE2" w:rsidRPr="001E24F4">
              <w:rPr>
                <w:b/>
                <w:bCs/>
                <w:sz w:val="20"/>
                <w:szCs w:val="20"/>
              </w:rPr>
              <w:t>chłoniaka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="003F2DE2" w:rsidRPr="001E24F4">
              <w:rPr>
                <w:b/>
                <w:bCs/>
                <w:sz w:val="20"/>
                <w:szCs w:val="20"/>
              </w:rPr>
              <w:t>z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="003F2DE2" w:rsidRPr="001E24F4">
              <w:rPr>
                <w:b/>
                <w:bCs/>
                <w:sz w:val="20"/>
                <w:szCs w:val="20"/>
              </w:rPr>
              <w:t>komórek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="003F2DE2" w:rsidRPr="001E24F4">
              <w:rPr>
                <w:b/>
                <w:bCs/>
                <w:sz w:val="20"/>
                <w:szCs w:val="20"/>
              </w:rPr>
              <w:t>płaszcza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="003F2DE2" w:rsidRPr="001E24F4">
              <w:rPr>
                <w:b/>
                <w:bCs/>
                <w:sz w:val="20"/>
                <w:szCs w:val="20"/>
              </w:rPr>
              <w:t>(MCL)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="003F2DE2" w:rsidRPr="001E24F4">
              <w:rPr>
                <w:b/>
                <w:bCs/>
                <w:sz w:val="20"/>
                <w:szCs w:val="20"/>
              </w:rPr>
              <w:t>(ICD-10: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="003F2DE2" w:rsidRPr="001E24F4">
              <w:rPr>
                <w:b/>
                <w:bCs/>
                <w:sz w:val="20"/>
                <w:szCs w:val="20"/>
              </w:rPr>
              <w:t>C85.7)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="003F2DE2" w:rsidRPr="001E24F4">
              <w:rPr>
                <w:b/>
                <w:bCs/>
                <w:sz w:val="20"/>
                <w:szCs w:val="20"/>
              </w:rPr>
              <w:t>lenalidomidem</w:t>
            </w:r>
          </w:p>
          <w:p w14:paraId="3A894B46" w14:textId="77777777" w:rsidR="00315E32" w:rsidRPr="001E24F4" w:rsidRDefault="00315E32" w:rsidP="001E24F4">
            <w:pPr>
              <w:pStyle w:val="Akapitzlist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b/>
                <w:bCs/>
                <w:sz w:val="20"/>
                <w:szCs w:val="20"/>
              </w:rPr>
              <w:t>Dawkowanie</w:t>
            </w:r>
          </w:p>
          <w:p w14:paraId="2E1851F4" w14:textId="1EC9ACC0" w:rsidR="00804F3F" w:rsidRPr="001E24F4" w:rsidRDefault="00804F3F" w:rsidP="001E24F4">
            <w:pPr>
              <w:spacing w:after="60" w:line="276" w:lineRule="auto"/>
              <w:jc w:val="both"/>
              <w:rPr>
                <w:bCs/>
                <w:sz w:val="20"/>
                <w:szCs w:val="20"/>
              </w:rPr>
            </w:pPr>
            <w:r w:rsidRPr="001E24F4">
              <w:rPr>
                <w:bCs/>
                <w:sz w:val="20"/>
                <w:szCs w:val="20"/>
              </w:rPr>
              <w:t>Lenalidomid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w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postaci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kapsułek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twardych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stosowany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jest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w</w:t>
            </w:r>
            <w:r w:rsidR="001E24F4">
              <w:rPr>
                <w:bCs/>
                <w:sz w:val="20"/>
                <w:szCs w:val="20"/>
              </w:rPr>
              <w:t xml:space="preserve"> </w:t>
            </w:r>
            <w:r w:rsidRPr="001E24F4">
              <w:rPr>
                <w:bCs/>
                <w:sz w:val="20"/>
                <w:szCs w:val="20"/>
              </w:rPr>
              <w:t>monoterapii.</w:t>
            </w:r>
          </w:p>
          <w:p w14:paraId="40E15525" w14:textId="1B2AAE83" w:rsidR="005B1D54" w:rsidRPr="001E24F4" w:rsidRDefault="00804F3F" w:rsidP="001E24F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Zalecana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dawka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początkowa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lenalidomidu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to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25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mg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doustnie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raz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dobę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dniach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1-21,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powtarzanych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28-dniowych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cyklach.</w:t>
            </w:r>
          </w:p>
          <w:p w14:paraId="224CF602" w14:textId="6F45A759" w:rsidR="00455C10" w:rsidRPr="001E24F4" w:rsidRDefault="00804F3F" w:rsidP="001E24F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chorych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niewydolnością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nerek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dawka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początkowa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lenalidomidu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powinna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być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zgodna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zaleceniami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Charakterystyki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Produktu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Leczniczego.</w:t>
            </w:r>
          </w:p>
          <w:p w14:paraId="3A421B55" w14:textId="77777777" w:rsidR="005B1D54" w:rsidRPr="001E24F4" w:rsidRDefault="005B1D54" w:rsidP="001E24F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1C5529A9" w14:textId="3C69996F" w:rsidR="00315E32" w:rsidRPr="001E24F4" w:rsidRDefault="00315E32" w:rsidP="001E24F4">
            <w:pPr>
              <w:pStyle w:val="Akapitzlist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1E24F4">
              <w:rPr>
                <w:b/>
                <w:bCs/>
                <w:sz w:val="20"/>
                <w:szCs w:val="20"/>
              </w:rPr>
              <w:t>Modyfikacja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dawki</w:t>
            </w:r>
          </w:p>
          <w:p w14:paraId="51BBE812" w14:textId="0645C27B" w:rsidR="00A761B5" w:rsidRPr="001E24F4" w:rsidRDefault="00A761B5" w:rsidP="001E24F4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Dawkowanie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lenalidomidu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kontynuuje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się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modyfikuje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podstawie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obserwacji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klinicznych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lastRenderedPageBreak/>
              <w:t>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wyników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laboratoryjnych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zgodnie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Charakterystyką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Produktu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Leczniczego.</w:t>
            </w:r>
          </w:p>
          <w:p w14:paraId="623B3470" w14:textId="7EAD35D3" w:rsidR="00A761B5" w:rsidRPr="001E24F4" w:rsidRDefault="00A761B5" w:rsidP="001E24F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Maksymalna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dawka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dobowa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lenalidomidu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może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być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wyższa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niż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25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mg</w:t>
            </w:r>
            <w:r w:rsidR="00823E1D" w:rsidRPr="001E24F4">
              <w:rPr>
                <w:sz w:val="20"/>
                <w:szCs w:val="20"/>
              </w:rPr>
              <w:t>.</w:t>
            </w:r>
          </w:p>
          <w:p w14:paraId="15130C51" w14:textId="6053C159" w:rsidR="00A761B5" w:rsidRPr="001E24F4" w:rsidRDefault="00A761B5" w:rsidP="001E24F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47C3A" w14:textId="7924FB41" w:rsidR="00B46665" w:rsidRPr="001E24F4" w:rsidRDefault="00237DE4" w:rsidP="001E24F4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1E24F4">
              <w:rPr>
                <w:b/>
                <w:bCs/>
                <w:sz w:val="20"/>
                <w:szCs w:val="20"/>
              </w:rPr>
              <w:lastRenderedPageBreak/>
              <w:t>Leczenie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chorych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na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="003F2DE2" w:rsidRPr="001E24F4">
              <w:rPr>
                <w:b/>
                <w:bCs/>
                <w:sz w:val="20"/>
                <w:szCs w:val="20"/>
              </w:rPr>
              <w:t>chłoniaka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="003F2DE2" w:rsidRPr="001E24F4">
              <w:rPr>
                <w:b/>
                <w:bCs/>
                <w:sz w:val="20"/>
                <w:szCs w:val="20"/>
              </w:rPr>
              <w:t>z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="003F2DE2" w:rsidRPr="001E24F4">
              <w:rPr>
                <w:b/>
                <w:bCs/>
                <w:sz w:val="20"/>
                <w:szCs w:val="20"/>
              </w:rPr>
              <w:t>komórek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="003F2DE2" w:rsidRPr="001E24F4">
              <w:rPr>
                <w:b/>
                <w:bCs/>
                <w:sz w:val="20"/>
                <w:szCs w:val="20"/>
              </w:rPr>
              <w:t>płaszcza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="003F2DE2" w:rsidRPr="001E24F4">
              <w:rPr>
                <w:b/>
                <w:bCs/>
                <w:sz w:val="20"/>
                <w:szCs w:val="20"/>
              </w:rPr>
              <w:t>(MCL)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="003F2DE2" w:rsidRPr="001E24F4">
              <w:rPr>
                <w:b/>
                <w:bCs/>
                <w:sz w:val="20"/>
                <w:szCs w:val="20"/>
              </w:rPr>
              <w:t>(ICD-10: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="003F2DE2" w:rsidRPr="001E24F4">
              <w:rPr>
                <w:b/>
                <w:bCs/>
                <w:sz w:val="20"/>
                <w:szCs w:val="20"/>
              </w:rPr>
              <w:t>C85.7)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="003F2DE2" w:rsidRPr="001E24F4">
              <w:rPr>
                <w:b/>
                <w:bCs/>
                <w:sz w:val="20"/>
                <w:szCs w:val="20"/>
              </w:rPr>
              <w:t>lenalidomidem</w:t>
            </w:r>
          </w:p>
          <w:p w14:paraId="59E04A1D" w14:textId="08AED043" w:rsidR="00D32FF8" w:rsidRPr="001E24F4" w:rsidRDefault="00D32FF8" w:rsidP="001E24F4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1E24F4">
              <w:rPr>
                <w:b/>
                <w:bCs/>
                <w:sz w:val="20"/>
                <w:szCs w:val="20"/>
              </w:rPr>
              <w:t>Badania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przy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kwalifikacji</w:t>
            </w:r>
          </w:p>
          <w:p w14:paraId="2901412A" w14:textId="7511A0FB" w:rsidR="00D32FF8" w:rsidRPr="001E24F4" w:rsidRDefault="00CF3DED" w:rsidP="001E24F4">
            <w:pPr>
              <w:numPr>
                <w:ilvl w:val="2"/>
                <w:numId w:val="31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morfologia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krwi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rozmazem;</w:t>
            </w:r>
          </w:p>
          <w:p w14:paraId="0BE77AFF" w14:textId="4EDA2417" w:rsidR="00D32FF8" w:rsidRPr="001E24F4" w:rsidRDefault="00B21314" w:rsidP="001E24F4">
            <w:pPr>
              <w:numPr>
                <w:ilvl w:val="2"/>
                <w:numId w:val="31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AspAT,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AlAT;</w:t>
            </w:r>
          </w:p>
          <w:p w14:paraId="49E28646" w14:textId="3066AA34" w:rsidR="00D32FF8" w:rsidRPr="001E24F4" w:rsidRDefault="00B21314" w:rsidP="001E24F4">
            <w:pPr>
              <w:numPr>
                <w:ilvl w:val="2"/>
                <w:numId w:val="31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stężenie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bilirubiny;</w:t>
            </w:r>
          </w:p>
          <w:p w14:paraId="1ABFA6B3" w14:textId="228E5795" w:rsidR="00D32FF8" w:rsidRPr="001E24F4" w:rsidRDefault="00B21314" w:rsidP="001E24F4">
            <w:pPr>
              <w:numPr>
                <w:ilvl w:val="2"/>
                <w:numId w:val="31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stężenie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kreatyniny;</w:t>
            </w:r>
          </w:p>
          <w:p w14:paraId="0EE68262" w14:textId="5031A8F0" w:rsidR="00D32FF8" w:rsidRPr="001E24F4" w:rsidRDefault="00B21314" w:rsidP="001E24F4">
            <w:pPr>
              <w:numPr>
                <w:ilvl w:val="2"/>
                <w:numId w:val="31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klirens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kreatyniny;</w:t>
            </w:r>
          </w:p>
          <w:p w14:paraId="11A417BC" w14:textId="2891BD3D" w:rsidR="00B21314" w:rsidRPr="001E24F4" w:rsidRDefault="00B21314" w:rsidP="001E24F4">
            <w:pPr>
              <w:numPr>
                <w:ilvl w:val="2"/>
                <w:numId w:val="31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TK</w:t>
            </w:r>
            <w:r w:rsidR="00A761B5" w:rsidRPr="001E24F4">
              <w:rPr>
                <w:sz w:val="20"/>
                <w:szCs w:val="20"/>
              </w:rPr>
              <w:t>,</w:t>
            </w:r>
            <w:r w:rsidR="001E24F4">
              <w:rPr>
                <w:sz w:val="20"/>
                <w:szCs w:val="20"/>
              </w:rPr>
              <w:t xml:space="preserve"> </w:t>
            </w:r>
            <w:r w:rsidR="00A761B5" w:rsidRPr="001E24F4">
              <w:rPr>
                <w:sz w:val="20"/>
                <w:szCs w:val="20"/>
              </w:rPr>
              <w:t>PET</w:t>
            </w:r>
            <w:r w:rsidR="003A0A56" w:rsidRPr="001E24F4">
              <w:rPr>
                <w:sz w:val="20"/>
                <w:szCs w:val="20"/>
              </w:rPr>
              <w:t>-TK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="00C12BC0" w:rsidRPr="001E24F4">
              <w:rPr>
                <w:sz w:val="20"/>
                <w:szCs w:val="20"/>
              </w:rPr>
              <w:t>RM</w:t>
            </w:r>
            <w:r w:rsidR="001E24F4">
              <w:rPr>
                <w:sz w:val="20"/>
                <w:szCs w:val="20"/>
              </w:rPr>
              <w:t xml:space="preserve"> </w:t>
            </w:r>
            <w:r w:rsidR="00C12BC0" w:rsidRPr="001E24F4">
              <w:rPr>
                <w:sz w:val="20"/>
                <w:szCs w:val="20"/>
              </w:rPr>
              <w:t>wybranych</w:t>
            </w:r>
            <w:r w:rsidR="001E24F4">
              <w:rPr>
                <w:sz w:val="20"/>
                <w:szCs w:val="20"/>
              </w:rPr>
              <w:t xml:space="preserve"> </w:t>
            </w:r>
            <w:r w:rsidR="00C12BC0" w:rsidRPr="001E24F4">
              <w:rPr>
                <w:sz w:val="20"/>
                <w:szCs w:val="20"/>
              </w:rPr>
              <w:t>lokalizacji</w:t>
            </w:r>
            <w:r w:rsidR="001E24F4">
              <w:rPr>
                <w:sz w:val="20"/>
                <w:szCs w:val="20"/>
              </w:rPr>
              <w:t xml:space="preserve"> </w:t>
            </w:r>
            <w:r w:rsidR="00C12BC0" w:rsidRPr="001E24F4">
              <w:rPr>
                <w:sz w:val="20"/>
                <w:szCs w:val="20"/>
              </w:rPr>
              <w:t>–</w:t>
            </w:r>
            <w:r w:rsidR="001E24F4">
              <w:rPr>
                <w:sz w:val="20"/>
                <w:szCs w:val="20"/>
              </w:rPr>
              <w:t xml:space="preserve"> </w:t>
            </w:r>
            <w:r w:rsidR="00A761B5" w:rsidRPr="001E24F4">
              <w:rPr>
                <w:sz w:val="20"/>
                <w:szCs w:val="20"/>
              </w:rPr>
              <w:t>rodzaj</w:t>
            </w:r>
            <w:r w:rsidR="001E24F4">
              <w:rPr>
                <w:sz w:val="20"/>
                <w:szCs w:val="20"/>
              </w:rPr>
              <w:t xml:space="preserve"> </w:t>
            </w:r>
            <w:r w:rsidR="00A761B5" w:rsidRPr="001E24F4">
              <w:rPr>
                <w:sz w:val="20"/>
                <w:szCs w:val="20"/>
              </w:rPr>
              <w:t>badań</w:t>
            </w:r>
            <w:r w:rsidR="001E24F4">
              <w:rPr>
                <w:sz w:val="20"/>
                <w:szCs w:val="20"/>
              </w:rPr>
              <w:t xml:space="preserve"> </w:t>
            </w:r>
            <w:r w:rsidR="00A761B5" w:rsidRPr="001E24F4">
              <w:rPr>
                <w:sz w:val="20"/>
                <w:szCs w:val="20"/>
              </w:rPr>
              <w:t>obrazowych</w:t>
            </w:r>
            <w:r w:rsidR="001E24F4">
              <w:rPr>
                <w:sz w:val="20"/>
                <w:szCs w:val="20"/>
              </w:rPr>
              <w:t xml:space="preserve"> </w:t>
            </w:r>
            <w:r w:rsidR="00C12BC0" w:rsidRPr="001E24F4">
              <w:rPr>
                <w:sz w:val="20"/>
                <w:szCs w:val="20"/>
              </w:rPr>
              <w:t>do</w:t>
            </w:r>
            <w:r w:rsidR="001E24F4">
              <w:rPr>
                <w:sz w:val="20"/>
                <w:szCs w:val="20"/>
              </w:rPr>
              <w:t xml:space="preserve"> </w:t>
            </w:r>
            <w:r w:rsidR="00C12BC0" w:rsidRPr="001E24F4">
              <w:rPr>
                <w:sz w:val="20"/>
                <w:szCs w:val="20"/>
              </w:rPr>
              <w:t>decyzji</w:t>
            </w:r>
            <w:r w:rsidR="001E24F4">
              <w:rPr>
                <w:sz w:val="20"/>
                <w:szCs w:val="20"/>
              </w:rPr>
              <w:t xml:space="preserve"> </w:t>
            </w:r>
            <w:r w:rsidR="00C12BC0" w:rsidRPr="001E24F4">
              <w:rPr>
                <w:sz w:val="20"/>
                <w:szCs w:val="20"/>
              </w:rPr>
              <w:t>lekarza</w:t>
            </w:r>
            <w:r w:rsidR="000733DB" w:rsidRPr="001E24F4">
              <w:rPr>
                <w:sz w:val="20"/>
                <w:szCs w:val="20"/>
              </w:rPr>
              <w:t>.</w:t>
            </w:r>
          </w:p>
          <w:p w14:paraId="3C0CEFDB" w14:textId="3AD237F9" w:rsidR="00C12BC0" w:rsidRPr="001E24F4" w:rsidRDefault="00C12BC0" w:rsidP="001E24F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Badania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powinny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być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wykonane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ciągu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więcej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niż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4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tygodni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poprzedzających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rozpoczęcie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leczenia.</w:t>
            </w:r>
          </w:p>
          <w:p w14:paraId="2F94D12E" w14:textId="577F407B" w:rsidR="009B6D0E" w:rsidRPr="001E24F4" w:rsidRDefault="00C12BC0" w:rsidP="001E24F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dniu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kwalifikacji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wcześniej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niż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7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dni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przed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wydaniem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leku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pacjentkom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mogącym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zajść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ciążę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należy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wykonać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test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ciążowy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czułości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min.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25mIU/ml.</w:t>
            </w:r>
            <w:r w:rsidR="001E24F4">
              <w:rPr>
                <w:sz w:val="20"/>
                <w:szCs w:val="20"/>
              </w:rPr>
              <w:t xml:space="preserve"> </w:t>
            </w:r>
          </w:p>
          <w:p w14:paraId="186AA051" w14:textId="77777777" w:rsidR="009B6D0E" w:rsidRPr="001E24F4" w:rsidRDefault="009B6D0E" w:rsidP="001E24F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7AE713EC" w14:textId="00A79F39" w:rsidR="009B6D0E" w:rsidRPr="001E24F4" w:rsidRDefault="009B6D0E" w:rsidP="001E24F4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b/>
                <w:bCs/>
                <w:sz w:val="20"/>
                <w:szCs w:val="20"/>
              </w:rPr>
              <w:lastRenderedPageBreak/>
              <w:t>Monitorowanie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1E24F4">
              <w:rPr>
                <w:b/>
                <w:bCs/>
                <w:sz w:val="20"/>
                <w:szCs w:val="20"/>
              </w:rPr>
              <w:t>leczenia</w:t>
            </w:r>
          </w:p>
          <w:p w14:paraId="0DF43CB3" w14:textId="00683DF2" w:rsidR="009B6D0E" w:rsidRPr="001E24F4" w:rsidRDefault="009B6D0E" w:rsidP="001E24F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Badania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wykonywane:</w:t>
            </w:r>
          </w:p>
          <w:p w14:paraId="66B8F867" w14:textId="26762559" w:rsidR="00D32FF8" w:rsidRPr="001E24F4" w:rsidRDefault="004D6588" w:rsidP="001E24F4">
            <w:pPr>
              <w:pStyle w:val="Akapitzlist"/>
              <w:numPr>
                <w:ilvl w:val="3"/>
                <w:numId w:val="2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przed</w:t>
            </w:r>
            <w:r w:rsidR="001E24F4">
              <w:rPr>
                <w:sz w:val="20"/>
                <w:szCs w:val="20"/>
              </w:rPr>
              <w:t xml:space="preserve"> </w:t>
            </w:r>
            <w:r w:rsidR="00E3022C" w:rsidRPr="001E24F4">
              <w:rPr>
                <w:sz w:val="20"/>
                <w:szCs w:val="20"/>
              </w:rPr>
              <w:t>każdym</w:t>
            </w:r>
            <w:r w:rsidR="001E24F4">
              <w:rPr>
                <w:sz w:val="20"/>
                <w:szCs w:val="20"/>
              </w:rPr>
              <w:t xml:space="preserve"> </w:t>
            </w:r>
            <w:r w:rsidR="00E3022C" w:rsidRPr="001E24F4">
              <w:rPr>
                <w:sz w:val="20"/>
                <w:szCs w:val="20"/>
              </w:rPr>
              <w:t>cyklem</w:t>
            </w:r>
            <w:r w:rsidR="001E24F4">
              <w:rPr>
                <w:sz w:val="20"/>
                <w:szCs w:val="20"/>
              </w:rPr>
              <w:t xml:space="preserve"> </w:t>
            </w:r>
            <w:r w:rsidR="00E3022C" w:rsidRPr="001E24F4">
              <w:rPr>
                <w:sz w:val="20"/>
                <w:szCs w:val="20"/>
              </w:rPr>
              <w:t>leczenia:</w:t>
            </w:r>
          </w:p>
          <w:p w14:paraId="4D3933C3" w14:textId="0C44AA2E" w:rsidR="00D32FF8" w:rsidRPr="001E24F4" w:rsidRDefault="00D32FF8" w:rsidP="001E24F4">
            <w:pPr>
              <w:pStyle w:val="Akapitzlist"/>
              <w:numPr>
                <w:ilvl w:val="5"/>
                <w:numId w:val="29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morfologia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krwi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rozmazem</w:t>
            </w:r>
            <w:r w:rsidR="00DA22AD" w:rsidRPr="001E24F4">
              <w:rPr>
                <w:sz w:val="20"/>
                <w:szCs w:val="20"/>
              </w:rPr>
              <w:t>;</w:t>
            </w:r>
          </w:p>
          <w:p w14:paraId="6A26C7AD" w14:textId="2352579B" w:rsidR="00D32FF8" w:rsidRPr="001E24F4" w:rsidRDefault="00D32FF8" w:rsidP="001E24F4">
            <w:pPr>
              <w:pStyle w:val="Akapitzlist"/>
              <w:numPr>
                <w:ilvl w:val="5"/>
                <w:numId w:val="29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test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ciążowy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czułości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min.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25mIU/ml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pacjentek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mogących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zajść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ciążę,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zgodnie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zaleceniami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z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Charakterystyki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Produktu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Leczniczego;</w:t>
            </w:r>
          </w:p>
          <w:p w14:paraId="6C998DE3" w14:textId="579CEC66" w:rsidR="00A31CFB" w:rsidRPr="001E24F4" w:rsidRDefault="009B6D0E" w:rsidP="001E24F4">
            <w:pPr>
              <w:pStyle w:val="Akapitzlist"/>
              <w:numPr>
                <w:ilvl w:val="3"/>
                <w:numId w:val="29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po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6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cyklu</w:t>
            </w:r>
            <w:r w:rsidR="001E24F4">
              <w:rPr>
                <w:sz w:val="20"/>
                <w:szCs w:val="20"/>
              </w:rPr>
              <w:t xml:space="preserve"> </w:t>
            </w:r>
            <w:r w:rsidR="000733DB" w:rsidRPr="001E24F4">
              <w:rPr>
                <w:sz w:val="20"/>
                <w:szCs w:val="20"/>
              </w:rPr>
              <w:t>leczenia</w:t>
            </w:r>
            <w:r w:rsidRPr="001E24F4">
              <w:rPr>
                <w:sz w:val="20"/>
                <w:szCs w:val="20"/>
              </w:rPr>
              <w:t>:</w:t>
            </w:r>
          </w:p>
          <w:p w14:paraId="4ECFC6F6" w14:textId="5B0FBB69" w:rsidR="000733DB" w:rsidRPr="001E24F4" w:rsidRDefault="000733DB" w:rsidP="001E24F4">
            <w:pPr>
              <w:pStyle w:val="Akapitzlist"/>
              <w:numPr>
                <w:ilvl w:val="5"/>
                <w:numId w:val="29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AspAT,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AlAT;</w:t>
            </w:r>
          </w:p>
          <w:p w14:paraId="1410A62F" w14:textId="58CD1329" w:rsidR="000733DB" w:rsidRPr="001E24F4" w:rsidRDefault="000733DB" w:rsidP="001E24F4">
            <w:pPr>
              <w:pStyle w:val="Akapitzlist"/>
              <w:numPr>
                <w:ilvl w:val="5"/>
                <w:numId w:val="29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stężenie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bilirubiny;</w:t>
            </w:r>
          </w:p>
          <w:p w14:paraId="5DC4123E" w14:textId="104CA948" w:rsidR="000733DB" w:rsidRPr="001E24F4" w:rsidRDefault="000733DB" w:rsidP="001E24F4">
            <w:pPr>
              <w:pStyle w:val="Akapitzlist"/>
              <w:numPr>
                <w:ilvl w:val="5"/>
                <w:numId w:val="29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stężenie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kreatyniny;</w:t>
            </w:r>
          </w:p>
          <w:p w14:paraId="01FAF370" w14:textId="6CB26131" w:rsidR="00C81726" w:rsidRPr="001E24F4" w:rsidRDefault="000733DB" w:rsidP="001E24F4">
            <w:pPr>
              <w:pStyle w:val="Akapitzlist"/>
              <w:numPr>
                <w:ilvl w:val="5"/>
                <w:numId w:val="29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klirens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kreatyniny;</w:t>
            </w:r>
          </w:p>
          <w:p w14:paraId="75985451" w14:textId="1157522F" w:rsidR="00C81726" w:rsidRPr="001E24F4" w:rsidRDefault="00E85B63" w:rsidP="001E24F4">
            <w:pPr>
              <w:pStyle w:val="Akapitzlist"/>
              <w:numPr>
                <w:ilvl w:val="5"/>
                <w:numId w:val="29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TK,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PET-TK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RM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wybranych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lokalizacji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–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rodzaj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badania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obrazowego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decyzji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lekarza.</w:t>
            </w:r>
          </w:p>
          <w:p w14:paraId="0591CE3E" w14:textId="2392CF12" w:rsidR="00D1169C" w:rsidRPr="001E24F4" w:rsidRDefault="00D1169C" w:rsidP="001E24F4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E24F4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przypadku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podejrzenia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progresji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choroby: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TK,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PET-TK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RM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wybranych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lokalizacji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–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rodzaj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badania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obrazowego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do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decyzji</w:t>
            </w:r>
            <w:r w:rsidR="001E24F4">
              <w:rPr>
                <w:sz w:val="20"/>
                <w:szCs w:val="20"/>
              </w:rPr>
              <w:t xml:space="preserve"> </w:t>
            </w:r>
            <w:r w:rsidRPr="001E24F4">
              <w:rPr>
                <w:sz w:val="20"/>
                <w:szCs w:val="20"/>
              </w:rPr>
              <w:t>lekarza.</w:t>
            </w:r>
          </w:p>
          <w:p w14:paraId="16CC3D78" w14:textId="7B29A69A" w:rsidR="009B6D0E" w:rsidRPr="001E24F4" w:rsidRDefault="009B6D0E" w:rsidP="001E24F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</w:tc>
      </w:tr>
      <w:tr w:rsidR="00E83F1B" w:rsidRPr="007E3BCE" w14:paraId="7BA9870A" w14:textId="77777777" w:rsidTr="009F3137">
        <w:trPr>
          <w:trHeight w:val="20"/>
        </w:trPr>
        <w:tc>
          <w:tcPr>
            <w:tcW w:w="1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BAB52" w14:textId="77777777" w:rsidR="00E83F1B" w:rsidRPr="00AC7C23" w:rsidRDefault="00E83F1B" w:rsidP="00AC7C23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22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84FD1" w14:textId="77777777" w:rsidR="00E83F1B" w:rsidRPr="00AC7C23" w:rsidRDefault="00E83F1B" w:rsidP="00AC7C23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92D58" w14:textId="7BD27542" w:rsidR="00003865" w:rsidRPr="00AC7C23" w:rsidRDefault="00E83F1B" w:rsidP="00BB4A7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C7C23">
              <w:rPr>
                <w:b/>
                <w:bCs/>
                <w:sz w:val="20"/>
                <w:szCs w:val="20"/>
              </w:rPr>
              <w:t>Monitorowanie</w:t>
            </w:r>
            <w:r w:rsidR="001E24F4">
              <w:rPr>
                <w:b/>
                <w:bCs/>
                <w:sz w:val="20"/>
                <w:szCs w:val="20"/>
              </w:rPr>
              <w:t xml:space="preserve"> </w:t>
            </w:r>
            <w:r w:rsidRPr="00AC7C23">
              <w:rPr>
                <w:b/>
                <w:bCs/>
                <w:sz w:val="20"/>
                <w:szCs w:val="20"/>
              </w:rPr>
              <w:t>programu</w:t>
            </w:r>
          </w:p>
          <w:p w14:paraId="52B7EB3A" w14:textId="3E972CFD" w:rsidR="00030376" w:rsidRPr="00AC7C23" w:rsidRDefault="00E83F1B" w:rsidP="00AC7C23">
            <w:pPr>
              <w:pStyle w:val="Akapitzlist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C7C23">
              <w:rPr>
                <w:sz w:val="20"/>
                <w:szCs w:val="20"/>
              </w:rPr>
              <w:t>gromadzenie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dokumentacji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medycznej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pacjenta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danych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dotyczących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monitorowania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leczenia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i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każdorazowe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ich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przedstawianie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na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żądanie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kontrolerów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Narodowego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Funduszu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Zdrowia;</w:t>
            </w:r>
          </w:p>
          <w:p w14:paraId="1062CE95" w14:textId="2BC24628" w:rsidR="00030376" w:rsidRPr="00AC7C23" w:rsidRDefault="00E83F1B" w:rsidP="00AC7C23">
            <w:pPr>
              <w:pStyle w:val="Akapitzlist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C7C23">
              <w:rPr>
                <w:sz w:val="20"/>
                <w:szCs w:val="20"/>
              </w:rPr>
              <w:t>uzupełnianie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danych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zawartych</w:t>
            </w:r>
            <w:r w:rsidR="001E24F4">
              <w:rPr>
                <w:sz w:val="20"/>
                <w:szCs w:val="20"/>
              </w:rPr>
              <w:t xml:space="preserve"> </w:t>
            </w:r>
            <w:r w:rsidR="00706510" w:rsidRPr="00AC7C23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="00706510" w:rsidRPr="00AC7C23">
              <w:rPr>
                <w:sz w:val="20"/>
                <w:szCs w:val="20"/>
              </w:rPr>
              <w:t>elektronicznym</w:t>
            </w:r>
            <w:r w:rsidR="001E24F4">
              <w:rPr>
                <w:sz w:val="20"/>
                <w:szCs w:val="20"/>
              </w:rPr>
              <w:t xml:space="preserve"> </w:t>
            </w:r>
            <w:r w:rsidR="00706510" w:rsidRPr="00AC7C23">
              <w:rPr>
                <w:sz w:val="20"/>
                <w:szCs w:val="20"/>
              </w:rPr>
              <w:t>systemie</w:t>
            </w:r>
            <w:r w:rsidR="001E24F4">
              <w:rPr>
                <w:sz w:val="20"/>
                <w:szCs w:val="20"/>
              </w:rPr>
              <w:t xml:space="preserve"> </w:t>
            </w:r>
            <w:r w:rsidR="00706510" w:rsidRPr="00AC7C23">
              <w:rPr>
                <w:sz w:val="20"/>
                <w:szCs w:val="20"/>
              </w:rPr>
              <w:t>monitorowania</w:t>
            </w:r>
            <w:r w:rsidR="001E24F4">
              <w:rPr>
                <w:sz w:val="20"/>
                <w:szCs w:val="20"/>
              </w:rPr>
              <w:t xml:space="preserve"> </w:t>
            </w:r>
            <w:r w:rsidR="00706510" w:rsidRPr="00AC7C23">
              <w:rPr>
                <w:sz w:val="20"/>
                <w:szCs w:val="20"/>
              </w:rPr>
              <w:t>programów</w:t>
            </w:r>
            <w:r w:rsidR="001E24F4">
              <w:rPr>
                <w:sz w:val="20"/>
                <w:szCs w:val="20"/>
              </w:rPr>
              <w:t xml:space="preserve"> </w:t>
            </w:r>
            <w:r w:rsidR="00706510" w:rsidRPr="00AC7C23">
              <w:rPr>
                <w:sz w:val="20"/>
                <w:szCs w:val="20"/>
              </w:rPr>
              <w:t>lekowych</w:t>
            </w:r>
            <w:r w:rsidR="001E24F4">
              <w:rPr>
                <w:sz w:val="20"/>
                <w:szCs w:val="20"/>
              </w:rPr>
              <w:t xml:space="preserve"> </w:t>
            </w:r>
            <w:r w:rsidR="00706510" w:rsidRPr="00AC7C23">
              <w:rPr>
                <w:sz w:val="20"/>
                <w:szCs w:val="20"/>
              </w:rPr>
              <w:t>(SMPT)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za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pomocą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aplikacji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internetowej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udostępnionej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przez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OW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NFZ,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z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częstotliwością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zgodną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z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opisem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programu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oraz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na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zakończenie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leczenia;</w:t>
            </w:r>
          </w:p>
          <w:p w14:paraId="19B72994" w14:textId="606F3DA5" w:rsidR="00E83F1B" w:rsidRDefault="00E83F1B" w:rsidP="00AC7C23">
            <w:pPr>
              <w:pStyle w:val="Akapitzlist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C7C23">
              <w:rPr>
                <w:sz w:val="20"/>
                <w:szCs w:val="20"/>
              </w:rPr>
              <w:lastRenderedPageBreak/>
              <w:t>przekazywanie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informacji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sprawozdawczo-rozliczeniowych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do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NFZ: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informacje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przekazuje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się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do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NFZ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formie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papierowej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lub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w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formie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elektronicznej,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zgodnie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z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wymaganiami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opublikowanymi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przez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Narodowy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Fundusz</w:t>
            </w:r>
            <w:r w:rsidR="001E24F4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Zdrowia.</w:t>
            </w:r>
          </w:p>
          <w:p w14:paraId="350AD566" w14:textId="1D7B2E97" w:rsidR="003C4635" w:rsidRPr="00AC7C23" w:rsidRDefault="003C4635" w:rsidP="003C4635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227"/>
              <w:contextualSpacing w:val="0"/>
              <w:jc w:val="both"/>
              <w:rPr>
                <w:sz w:val="20"/>
                <w:szCs w:val="20"/>
              </w:rPr>
            </w:pPr>
          </w:p>
        </w:tc>
      </w:tr>
    </w:tbl>
    <w:p w14:paraId="69306A2E" w14:textId="77777777" w:rsidR="00221D34" w:rsidRPr="00221D34" w:rsidRDefault="00221D34" w:rsidP="00D86B37">
      <w:pPr>
        <w:autoSpaceDE w:val="0"/>
        <w:autoSpaceDN w:val="0"/>
        <w:adjustRightInd w:val="0"/>
        <w:jc w:val="both"/>
        <w:rPr>
          <w:rFonts w:ascii="Courier New" w:hAnsi="Courier New"/>
        </w:rPr>
      </w:pPr>
    </w:p>
    <w:sectPr w:rsidR="00221D34" w:rsidRPr="00221D34" w:rsidSect="001D700D">
      <w:pgSz w:w="16838" w:h="11906" w:orient="landscape" w:code="9"/>
      <w:pgMar w:top="1588" w:right="720" w:bottom="1418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ADB9D" w14:textId="77777777" w:rsidR="007649A0" w:rsidRDefault="007649A0" w:rsidP="00146020">
      <w:r>
        <w:separator/>
      </w:r>
    </w:p>
  </w:endnote>
  <w:endnote w:type="continuationSeparator" w:id="0">
    <w:p w14:paraId="264052F6" w14:textId="77777777" w:rsidR="007649A0" w:rsidRDefault="007649A0" w:rsidP="0014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51DCA" w14:textId="77777777" w:rsidR="007649A0" w:rsidRDefault="007649A0" w:rsidP="00146020">
      <w:r>
        <w:separator/>
      </w:r>
    </w:p>
  </w:footnote>
  <w:footnote w:type="continuationSeparator" w:id="0">
    <w:p w14:paraId="01DE3099" w14:textId="77777777" w:rsidR="007649A0" w:rsidRDefault="007649A0" w:rsidP="00146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A20"/>
    <w:multiLevelType w:val="multilevel"/>
    <w:tmpl w:val="BFCA2D68"/>
    <w:lvl w:ilvl="0">
      <w:start w:val="3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" w15:restartNumberingAfterBreak="0">
    <w:nsid w:val="03340C4D"/>
    <w:multiLevelType w:val="multilevel"/>
    <w:tmpl w:val="328807E4"/>
    <w:lvl w:ilvl="0">
      <w:start w:val="2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" w15:restartNumberingAfterBreak="0">
    <w:nsid w:val="0B7A098C"/>
    <w:multiLevelType w:val="multilevel"/>
    <w:tmpl w:val="EE64FAA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" w15:restartNumberingAfterBreak="0">
    <w:nsid w:val="120503F0"/>
    <w:multiLevelType w:val="multilevel"/>
    <w:tmpl w:val="83DE3A04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4023DEF"/>
    <w:multiLevelType w:val="multilevel"/>
    <w:tmpl w:val="C574A8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22501E15"/>
    <w:multiLevelType w:val="multilevel"/>
    <w:tmpl w:val="EE64FAA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6" w15:restartNumberingAfterBreak="0">
    <w:nsid w:val="24185CDC"/>
    <w:multiLevelType w:val="multilevel"/>
    <w:tmpl w:val="EE64FAA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7" w15:restartNumberingAfterBreak="0">
    <w:nsid w:val="29A25406"/>
    <w:multiLevelType w:val="multilevel"/>
    <w:tmpl w:val="BFCA2D68"/>
    <w:lvl w:ilvl="0">
      <w:start w:val="3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8" w15:restartNumberingAfterBreak="0">
    <w:nsid w:val="2B6335D4"/>
    <w:multiLevelType w:val="multilevel"/>
    <w:tmpl w:val="BFCA2D68"/>
    <w:lvl w:ilvl="0">
      <w:start w:val="3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9" w15:restartNumberingAfterBreak="0">
    <w:nsid w:val="2CE2233D"/>
    <w:multiLevelType w:val="multilevel"/>
    <w:tmpl w:val="BFCA2D68"/>
    <w:lvl w:ilvl="0">
      <w:start w:val="3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0" w15:restartNumberingAfterBreak="0">
    <w:nsid w:val="2E8735E7"/>
    <w:multiLevelType w:val="multilevel"/>
    <w:tmpl w:val="694A93D2"/>
    <w:lvl w:ilvl="0">
      <w:start w:val="2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1" w15:restartNumberingAfterBreak="0">
    <w:nsid w:val="31B23E0D"/>
    <w:multiLevelType w:val="multilevel"/>
    <w:tmpl w:val="EE64FAA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2" w15:restartNumberingAfterBreak="0">
    <w:nsid w:val="35C44F63"/>
    <w:multiLevelType w:val="multilevel"/>
    <w:tmpl w:val="D802497E"/>
    <w:lvl w:ilvl="0">
      <w:start w:val="5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227" w:hanging="227"/>
      </w:pPr>
      <w:rPr>
        <w:rFonts w:ascii="Times New Roman" w:eastAsia="Times New Roman" w:hAnsi="Times New Roman" w:cs="Times New Roman" w:hint="default"/>
        <w:b w:val="0"/>
        <w:bCs w:val="0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3" w15:restartNumberingAfterBreak="0">
    <w:nsid w:val="38EC7AED"/>
    <w:multiLevelType w:val="multilevel"/>
    <w:tmpl w:val="8F0E7476"/>
    <w:lvl w:ilvl="0">
      <w:start w:val="7"/>
      <w:numFmt w:val="decimal"/>
      <w:suff w:val="space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b/>
        <w:bCs/>
      </w:rPr>
    </w:lvl>
    <w:lvl w:ilvl="2">
      <w:start w:val="1"/>
      <w:numFmt w:val="decimal"/>
      <w:suff w:val="space"/>
      <w:lvlText w:val="%3)"/>
      <w:lvlJc w:val="left"/>
      <w:pPr>
        <w:ind w:left="397" w:hanging="227"/>
      </w:pPr>
    </w:lvl>
    <w:lvl w:ilvl="3">
      <w:start w:val="1"/>
      <w:numFmt w:val="lowerLetter"/>
      <w:suff w:val="space"/>
      <w:lvlText w:val="%4)"/>
      <w:lvlJc w:val="left"/>
      <w:pPr>
        <w:ind w:left="567" w:hanging="227"/>
      </w:pPr>
    </w:lvl>
    <w:lvl w:ilvl="4">
      <w:start w:val="1"/>
      <w:numFmt w:val="bullet"/>
      <w:suff w:val="space"/>
      <w:lvlText w:val=""/>
      <w:lvlJc w:val="left"/>
      <w:pPr>
        <w:ind w:left="680" w:hanging="17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</w:lvl>
    <w:lvl w:ilvl="6">
      <w:start w:val="1"/>
      <w:numFmt w:val="decimal"/>
      <w:lvlText w:val="%1.%2.%3.%4.%5.%6.%7."/>
      <w:lvlJc w:val="left"/>
      <w:pPr>
        <w:ind w:left="3446" w:hanging="1080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14" w15:restartNumberingAfterBreak="0">
    <w:nsid w:val="3E370C3C"/>
    <w:multiLevelType w:val="multilevel"/>
    <w:tmpl w:val="FFB4344C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1742E49"/>
    <w:multiLevelType w:val="multilevel"/>
    <w:tmpl w:val="54AE13D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6" w15:restartNumberingAfterBreak="0">
    <w:nsid w:val="42B738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77A5D16"/>
    <w:multiLevelType w:val="multilevel"/>
    <w:tmpl w:val="BFCA2D68"/>
    <w:lvl w:ilvl="0">
      <w:start w:val="3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8" w15:restartNumberingAfterBreak="0">
    <w:nsid w:val="47F725A5"/>
    <w:multiLevelType w:val="multilevel"/>
    <w:tmpl w:val="9B30F4C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9" w15:restartNumberingAfterBreak="0">
    <w:nsid w:val="48800AFB"/>
    <w:multiLevelType w:val="multilevel"/>
    <w:tmpl w:val="F9B8C7A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0" w15:restartNumberingAfterBreak="0">
    <w:nsid w:val="4B7F7D16"/>
    <w:multiLevelType w:val="multilevel"/>
    <w:tmpl w:val="EE64FAA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1" w15:restartNumberingAfterBreak="0">
    <w:nsid w:val="4C604ACD"/>
    <w:multiLevelType w:val="multilevel"/>
    <w:tmpl w:val="60F2C1F6"/>
    <w:lvl w:ilvl="0">
      <w:start w:val="2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2" w15:restartNumberingAfterBreak="0">
    <w:nsid w:val="4F0C383C"/>
    <w:multiLevelType w:val="multilevel"/>
    <w:tmpl w:val="EE64FAA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3" w15:restartNumberingAfterBreak="0">
    <w:nsid w:val="519575A8"/>
    <w:multiLevelType w:val="multilevel"/>
    <w:tmpl w:val="BFCA2D68"/>
    <w:lvl w:ilvl="0">
      <w:start w:val="3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4" w15:restartNumberingAfterBreak="0">
    <w:nsid w:val="53CD2EE2"/>
    <w:multiLevelType w:val="multilevel"/>
    <w:tmpl w:val="7696B572"/>
    <w:lvl w:ilvl="0">
      <w:start w:val="2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2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5" w15:restartNumberingAfterBreak="0">
    <w:nsid w:val="54AB77BC"/>
    <w:multiLevelType w:val="hybridMultilevel"/>
    <w:tmpl w:val="E49259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00248"/>
    <w:multiLevelType w:val="multilevel"/>
    <w:tmpl w:val="6234FE58"/>
    <w:lvl w:ilvl="0">
      <w:start w:val="4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227" w:hanging="227"/>
      </w:pPr>
      <w:rPr>
        <w:rFonts w:ascii="Times New Roman" w:eastAsia="Times New Roman" w:hAnsi="Times New Roman" w:cs="Times New Roman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7" w15:restartNumberingAfterBreak="0">
    <w:nsid w:val="5BD07592"/>
    <w:multiLevelType w:val="multilevel"/>
    <w:tmpl w:val="8BA80FFA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3D62605"/>
    <w:multiLevelType w:val="multilevel"/>
    <w:tmpl w:val="295AC3A8"/>
    <w:lvl w:ilvl="0">
      <w:start w:val="4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decimal"/>
      <w:suff w:val="space"/>
      <w:lvlText w:val="%4)"/>
      <w:lvlJc w:val="left"/>
      <w:pPr>
        <w:ind w:left="680" w:hanging="226"/>
      </w:pPr>
      <w:rPr>
        <w:rFonts w:ascii="Times New Roman" w:eastAsia="Times New Roman" w:hAnsi="Times New Roman" w:cs="Times New Roman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9" w15:restartNumberingAfterBreak="0">
    <w:nsid w:val="75727AE6"/>
    <w:multiLevelType w:val="multilevel"/>
    <w:tmpl w:val="E424C146"/>
    <w:lvl w:ilvl="0">
      <w:start w:val="4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30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0" w15:restartNumberingAfterBreak="0">
    <w:nsid w:val="7A153EB9"/>
    <w:multiLevelType w:val="multilevel"/>
    <w:tmpl w:val="DECE14BC"/>
    <w:lvl w:ilvl="0">
      <w:start w:val="2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1" w15:restartNumberingAfterBreak="0">
    <w:nsid w:val="7ED57955"/>
    <w:multiLevelType w:val="multilevel"/>
    <w:tmpl w:val="E424C146"/>
    <w:lvl w:ilvl="0">
      <w:start w:val="4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30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num w:numId="1">
    <w:abstractNumId w:val="24"/>
  </w:num>
  <w:num w:numId="2">
    <w:abstractNumId w:val="18"/>
  </w:num>
  <w:num w:numId="3">
    <w:abstractNumId w:val="15"/>
  </w:num>
  <w:num w:numId="4">
    <w:abstractNumId w:val="1"/>
  </w:num>
  <w:num w:numId="5">
    <w:abstractNumId w:val="21"/>
  </w:num>
  <w:num w:numId="6">
    <w:abstractNumId w:val="19"/>
  </w:num>
  <w:num w:numId="7">
    <w:abstractNumId w:val="2"/>
  </w:num>
  <w:num w:numId="8">
    <w:abstractNumId w:val="8"/>
  </w:num>
  <w:num w:numId="9">
    <w:abstractNumId w:val="0"/>
  </w:num>
  <w:num w:numId="10">
    <w:abstractNumId w:val="16"/>
  </w:num>
  <w:num w:numId="11">
    <w:abstractNumId w:val="25"/>
  </w:num>
  <w:num w:numId="12">
    <w:abstractNumId w:val="14"/>
  </w:num>
  <w:num w:numId="13">
    <w:abstractNumId w:val="27"/>
  </w:num>
  <w:num w:numId="14">
    <w:abstractNumId w:val="17"/>
  </w:num>
  <w:num w:numId="15">
    <w:abstractNumId w:val="3"/>
  </w:num>
  <w:num w:numId="16">
    <w:abstractNumId w:val="9"/>
  </w:num>
  <w:num w:numId="17">
    <w:abstractNumId w:val="7"/>
  </w:num>
  <w:num w:numId="18">
    <w:abstractNumId w:val="12"/>
  </w:num>
  <w:num w:numId="19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30"/>
  </w:num>
  <w:num w:numId="22">
    <w:abstractNumId w:val="10"/>
  </w:num>
  <w:num w:numId="23">
    <w:abstractNumId w:val="22"/>
  </w:num>
  <w:num w:numId="24">
    <w:abstractNumId w:val="11"/>
  </w:num>
  <w:num w:numId="25">
    <w:abstractNumId w:val="28"/>
  </w:num>
  <w:num w:numId="26">
    <w:abstractNumId w:val="31"/>
  </w:num>
  <w:num w:numId="27">
    <w:abstractNumId w:val="20"/>
  </w:num>
  <w:num w:numId="28">
    <w:abstractNumId w:val="6"/>
  </w:num>
  <w:num w:numId="29">
    <w:abstractNumId w:val="26"/>
  </w:num>
  <w:num w:numId="30">
    <w:abstractNumId w:val="4"/>
  </w:num>
  <w:num w:numId="31">
    <w:abstractNumId w:val="29"/>
  </w:num>
  <w:num w:numId="32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43"/>
    <w:rsid w:val="00001AF1"/>
    <w:rsid w:val="00003865"/>
    <w:rsid w:val="000038D2"/>
    <w:rsid w:val="00011D31"/>
    <w:rsid w:val="0001233A"/>
    <w:rsid w:val="00013022"/>
    <w:rsid w:val="00021178"/>
    <w:rsid w:val="000219CE"/>
    <w:rsid w:val="000221CA"/>
    <w:rsid w:val="00022FF1"/>
    <w:rsid w:val="00025502"/>
    <w:rsid w:val="00030376"/>
    <w:rsid w:val="00037337"/>
    <w:rsid w:val="00037F25"/>
    <w:rsid w:val="00054506"/>
    <w:rsid w:val="00055C9C"/>
    <w:rsid w:val="00061D11"/>
    <w:rsid w:val="000634DB"/>
    <w:rsid w:val="00067372"/>
    <w:rsid w:val="000733DB"/>
    <w:rsid w:val="00074E54"/>
    <w:rsid w:val="00084AF5"/>
    <w:rsid w:val="000A430D"/>
    <w:rsid w:val="000A4D83"/>
    <w:rsid w:val="000B0404"/>
    <w:rsid w:val="000B1B2F"/>
    <w:rsid w:val="000B59FE"/>
    <w:rsid w:val="000B7019"/>
    <w:rsid w:val="000C569D"/>
    <w:rsid w:val="000C5BCE"/>
    <w:rsid w:val="000D03E5"/>
    <w:rsid w:val="000D5B02"/>
    <w:rsid w:val="000D5E6F"/>
    <w:rsid w:val="000E4304"/>
    <w:rsid w:val="000F1683"/>
    <w:rsid w:val="000F18A1"/>
    <w:rsid w:val="000F6C82"/>
    <w:rsid w:val="00120B9F"/>
    <w:rsid w:val="001210F0"/>
    <w:rsid w:val="00141414"/>
    <w:rsid w:val="00144C47"/>
    <w:rsid w:val="00146020"/>
    <w:rsid w:val="00146C35"/>
    <w:rsid w:val="00153CEE"/>
    <w:rsid w:val="00175752"/>
    <w:rsid w:val="00176CDE"/>
    <w:rsid w:val="001825E2"/>
    <w:rsid w:val="00187D6D"/>
    <w:rsid w:val="0019557E"/>
    <w:rsid w:val="001A4D22"/>
    <w:rsid w:val="001A7808"/>
    <w:rsid w:val="001B012A"/>
    <w:rsid w:val="001B38F4"/>
    <w:rsid w:val="001B3EEC"/>
    <w:rsid w:val="001D55A0"/>
    <w:rsid w:val="001D700D"/>
    <w:rsid w:val="001E24F4"/>
    <w:rsid w:val="001F018B"/>
    <w:rsid w:val="00204A99"/>
    <w:rsid w:val="002057F7"/>
    <w:rsid w:val="00206EB1"/>
    <w:rsid w:val="00207FB9"/>
    <w:rsid w:val="00221D34"/>
    <w:rsid w:val="00223496"/>
    <w:rsid w:val="00237DE4"/>
    <w:rsid w:val="00241DC6"/>
    <w:rsid w:val="0024287E"/>
    <w:rsid w:val="00242BD7"/>
    <w:rsid w:val="00251697"/>
    <w:rsid w:val="0025603B"/>
    <w:rsid w:val="00256B69"/>
    <w:rsid w:val="0027170D"/>
    <w:rsid w:val="00271ECB"/>
    <w:rsid w:val="00273218"/>
    <w:rsid w:val="00276AA3"/>
    <w:rsid w:val="002779AA"/>
    <w:rsid w:val="00281489"/>
    <w:rsid w:val="00295881"/>
    <w:rsid w:val="002A5BCA"/>
    <w:rsid w:val="002B1083"/>
    <w:rsid w:val="002D6857"/>
    <w:rsid w:val="002E64FA"/>
    <w:rsid w:val="002F0355"/>
    <w:rsid w:val="002F2F1C"/>
    <w:rsid w:val="00300977"/>
    <w:rsid w:val="00306001"/>
    <w:rsid w:val="003152B4"/>
    <w:rsid w:val="00315E32"/>
    <w:rsid w:val="00323F01"/>
    <w:rsid w:val="00324BB9"/>
    <w:rsid w:val="003271E9"/>
    <w:rsid w:val="00334BFA"/>
    <w:rsid w:val="003363A8"/>
    <w:rsid w:val="0034748D"/>
    <w:rsid w:val="003628EC"/>
    <w:rsid w:val="00362F60"/>
    <w:rsid w:val="003716DC"/>
    <w:rsid w:val="003777D8"/>
    <w:rsid w:val="00386A7D"/>
    <w:rsid w:val="003A0A56"/>
    <w:rsid w:val="003C3832"/>
    <w:rsid w:val="003C4635"/>
    <w:rsid w:val="003D5503"/>
    <w:rsid w:val="003F2DE2"/>
    <w:rsid w:val="003F464B"/>
    <w:rsid w:val="003F4A58"/>
    <w:rsid w:val="00404D18"/>
    <w:rsid w:val="00407994"/>
    <w:rsid w:val="0041155E"/>
    <w:rsid w:val="0042245F"/>
    <w:rsid w:val="004300F6"/>
    <w:rsid w:val="004311BB"/>
    <w:rsid w:val="004528D6"/>
    <w:rsid w:val="00455C10"/>
    <w:rsid w:val="00456293"/>
    <w:rsid w:val="00457B75"/>
    <w:rsid w:val="0046136A"/>
    <w:rsid w:val="00461EF7"/>
    <w:rsid w:val="00467A93"/>
    <w:rsid w:val="004707B9"/>
    <w:rsid w:val="00472439"/>
    <w:rsid w:val="004727C1"/>
    <w:rsid w:val="00472B65"/>
    <w:rsid w:val="00477B4C"/>
    <w:rsid w:val="00484513"/>
    <w:rsid w:val="00497A25"/>
    <w:rsid w:val="004A58E5"/>
    <w:rsid w:val="004B0713"/>
    <w:rsid w:val="004B47EF"/>
    <w:rsid w:val="004C21C0"/>
    <w:rsid w:val="004C2EC4"/>
    <w:rsid w:val="004D067E"/>
    <w:rsid w:val="004D219C"/>
    <w:rsid w:val="004D4744"/>
    <w:rsid w:val="004D6588"/>
    <w:rsid w:val="004D7016"/>
    <w:rsid w:val="004F67EB"/>
    <w:rsid w:val="00503AF7"/>
    <w:rsid w:val="00504679"/>
    <w:rsid w:val="00505277"/>
    <w:rsid w:val="00507469"/>
    <w:rsid w:val="00511692"/>
    <w:rsid w:val="00512EB7"/>
    <w:rsid w:val="00521743"/>
    <w:rsid w:val="00523C92"/>
    <w:rsid w:val="005363D4"/>
    <w:rsid w:val="00537330"/>
    <w:rsid w:val="00544298"/>
    <w:rsid w:val="00544E57"/>
    <w:rsid w:val="00544F36"/>
    <w:rsid w:val="00547315"/>
    <w:rsid w:val="00547A12"/>
    <w:rsid w:val="00551F82"/>
    <w:rsid w:val="00553E87"/>
    <w:rsid w:val="00561A5F"/>
    <w:rsid w:val="00570956"/>
    <w:rsid w:val="00584B9B"/>
    <w:rsid w:val="00593C9F"/>
    <w:rsid w:val="005950E3"/>
    <w:rsid w:val="00597CFD"/>
    <w:rsid w:val="005A2AA9"/>
    <w:rsid w:val="005B1C83"/>
    <w:rsid w:val="005B1D54"/>
    <w:rsid w:val="005B4CCE"/>
    <w:rsid w:val="005B6689"/>
    <w:rsid w:val="005D6F5A"/>
    <w:rsid w:val="005E1940"/>
    <w:rsid w:val="005E273F"/>
    <w:rsid w:val="005E5666"/>
    <w:rsid w:val="005E75A6"/>
    <w:rsid w:val="005F05B8"/>
    <w:rsid w:val="005F3529"/>
    <w:rsid w:val="005F3F70"/>
    <w:rsid w:val="006075F6"/>
    <w:rsid w:val="006176C4"/>
    <w:rsid w:val="006213AE"/>
    <w:rsid w:val="00624D99"/>
    <w:rsid w:val="00630982"/>
    <w:rsid w:val="00637575"/>
    <w:rsid w:val="0064785E"/>
    <w:rsid w:val="00661E47"/>
    <w:rsid w:val="006634BC"/>
    <w:rsid w:val="00664082"/>
    <w:rsid w:val="006643CA"/>
    <w:rsid w:val="00666CDB"/>
    <w:rsid w:val="00674F91"/>
    <w:rsid w:val="00677292"/>
    <w:rsid w:val="0068463A"/>
    <w:rsid w:val="006974BF"/>
    <w:rsid w:val="006A028A"/>
    <w:rsid w:val="006C2712"/>
    <w:rsid w:val="006C78E8"/>
    <w:rsid w:val="006D250F"/>
    <w:rsid w:val="006D5478"/>
    <w:rsid w:val="006E1117"/>
    <w:rsid w:val="006E176B"/>
    <w:rsid w:val="006E226B"/>
    <w:rsid w:val="006E6740"/>
    <w:rsid w:val="006F42CA"/>
    <w:rsid w:val="006F42E7"/>
    <w:rsid w:val="006F4502"/>
    <w:rsid w:val="006F4DE0"/>
    <w:rsid w:val="00706510"/>
    <w:rsid w:val="00706AC5"/>
    <w:rsid w:val="007166A3"/>
    <w:rsid w:val="00741CC3"/>
    <w:rsid w:val="00743C43"/>
    <w:rsid w:val="00747378"/>
    <w:rsid w:val="00747B57"/>
    <w:rsid w:val="00754F63"/>
    <w:rsid w:val="00755D68"/>
    <w:rsid w:val="007573A6"/>
    <w:rsid w:val="00757DE0"/>
    <w:rsid w:val="007649A0"/>
    <w:rsid w:val="007653B5"/>
    <w:rsid w:val="00772D6B"/>
    <w:rsid w:val="00773896"/>
    <w:rsid w:val="0078029F"/>
    <w:rsid w:val="00791DD0"/>
    <w:rsid w:val="00795158"/>
    <w:rsid w:val="007A617F"/>
    <w:rsid w:val="007B34F4"/>
    <w:rsid w:val="007B48DC"/>
    <w:rsid w:val="007C1400"/>
    <w:rsid w:val="007D188D"/>
    <w:rsid w:val="007D191B"/>
    <w:rsid w:val="007D7FF5"/>
    <w:rsid w:val="007E0BA9"/>
    <w:rsid w:val="007E3F93"/>
    <w:rsid w:val="007E48B2"/>
    <w:rsid w:val="007E6AB3"/>
    <w:rsid w:val="007E6DE4"/>
    <w:rsid w:val="007E734B"/>
    <w:rsid w:val="007F0D73"/>
    <w:rsid w:val="007F2E54"/>
    <w:rsid w:val="007F3B64"/>
    <w:rsid w:val="007F5F31"/>
    <w:rsid w:val="00804F3F"/>
    <w:rsid w:val="008115E0"/>
    <w:rsid w:val="00813985"/>
    <w:rsid w:val="0081686E"/>
    <w:rsid w:val="00823D90"/>
    <w:rsid w:val="00823E1D"/>
    <w:rsid w:val="00842954"/>
    <w:rsid w:val="008456E7"/>
    <w:rsid w:val="008640F0"/>
    <w:rsid w:val="00867073"/>
    <w:rsid w:val="00885302"/>
    <w:rsid w:val="00887A2A"/>
    <w:rsid w:val="00887E18"/>
    <w:rsid w:val="00897815"/>
    <w:rsid w:val="008C5F18"/>
    <w:rsid w:val="008D3D56"/>
    <w:rsid w:val="008E53D3"/>
    <w:rsid w:val="008F6C6C"/>
    <w:rsid w:val="00911F93"/>
    <w:rsid w:val="00915D3B"/>
    <w:rsid w:val="00934E8E"/>
    <w:rsid w:val="00935C0D"/>
    <w:rsid w:val="0094143E"/>
    <w:rsid w:val="009530A8"/>
    <w:rsid w:val="009556D7"/>
    <w:rsid w:val="00955D9E"/>
    <w:rsid w:val="0097669F"/>
    <w:rsid w:val="00983352"/>
    <w:rsid w:val="00995D1C"/>
    <w:rsid w:val="00997BEE"/>
    <w:rsid w:val="009B6D0E"/>
    <w:rsid w:val="009C23BF"/>
    <w:rsid w:val="009C7AF2"/>
    <w:rsid w:val="009D5327"/>
    <w:rsid w:val="009E085F"/>
    <w:rsid w:val="009E5402"/>
    <w:rsid w:val="009E56CF"/>
    <w:rsid w:val="009F3137"/>
    <w:rsid w:val="00A02EE5"/>
    <w:rsid w:val="00A054A0"/>
    <w:rsid w:val="00A1042F"/>
    <w:rsid w:val="00A11CC5"/>
    <w:rsid w:val="00A23F3F"/>
    <w:rsid w:val="00A27BEB"/>
    <w:rsid w:val="00A31CFB"/>
    <w:rsid w:val="00A433CE"/>
    <w:rsid w:val="00A50A97"/>
    <w:rsid w:val="00A53C48"/>
    <w:rsid w:val="00A61643"/>
    <w:rsid w:val="00A638DF"/>
    <w:rsid w:val="00A64977"/>
    <w:rsid w:val="00A655C0"/>
    <w:rsid w:val="00A667EF"/>
    <w:rsid w:val="00A761B5"/>
    <w:rsid w:val="00A77CF6"/>
    <w:rsid w:val="00A8749D"/>
    <w:rsid w:val="00A87E02"/>
    <w:rsid w:val="00A92CFA"/>
    <w:rsid w:val="00A97B8C"/>
    <w:rsid w:val="00AA0AA2"/>
    <w:rsid w:val="00AA2B70"/>
    <w:rsid w:val="00AA3D4B"/>
    <w:rsid w:val="00AC597A"/>
    <w:rsid w:val="00AC7C23"/>
    <w:rsid w:val="00AD047F"/>
    <w:rsid w:val="00AD0953"/>
    <w:rsid w:val="00AD2ABB"/>
    <w:rsid w:val="00AD37DB"/>
    <w:rsid w:val="00AD3ECB"/>
    <w:rsid w:val="00AD689F"/>
    <w:rsid w:val="00AE39F6"/>
    <w:rsid w:val="00AF3019"/>
    <w:rsid w:val="00B0142A"/>
    <w:rsid w:val="00B11605"/>
    <w:rsid w:val="00B20EEA"/>
    <w:rsid w:val="00B21314"/>
    <w:rsid w:val="00B34B02"/>
    <w:rsid w:val="00B46665"/>
    <w:rsid w:val="00B46F0F"/>
    <w:rsid w:val="00B47BB7"/>
    <w:rsid w:val="00B5059B"/>
    <w:rsid w:val="00B513AB"/>
    <w:rsid w:val="00B62A17"/>
    <w:rsid w:val="00B71888"/>
    <w:rsid w:val="00B7438E"/>
    <w:rsid w:val="00B81653"/>
    <w:rsid w:val="00B8449A"/>
    <w:rsid w:val="00B8673B"/>
    <w:rsid w:val="00BA067E"/>
    <w:rsid w:val="00BB32DA"/>
    <w:rsid w:val="00BB4A19"/>
    <w:rsid w:val="00BB4A71"/>
    <w:rsid w:val="00BC2387"/>
    <w:rsid w:val="00BC7CD7"/>
    <w:rsid w:val="00BD63A5"/>
    <w:rsid w:val="00BE081A"/>
    <w:rsid w:val="00BE0B72"/>
    <w:rsid w:val="00BF0462"/>
    <w:rsid w:val="00BF2D23"/>
    <w:rsid w:val="00BF4A51"/>
    <w:rsid w:val="00C0698C"/>
    <w:rsid w:val="00C12BC0"/>
    <w:rsid w:val="00C141E2"/>
    <w:rsid w:val="00C15275"/>
    <w:rsid w:val="00C179A5"/>
    <w:rsid w:val="00C22B5C"/>
    <w:rsid w:val="00C25EB2"/>
    <w:rsid w:val="00C2602F"/>
    <w:rsid w:val="00C401E0"/>
    <w:rsid w:val="00C41E39"/>
    <w:rsid w:val="00C45571"/>
    <w:rsid w:val="00C52E69"/>
    <w:rsid w:val="00C60965"/>
    <w:rsid w:val="00C60A46"/>
    <w:rsid w:val="00C6379A"/>
    <w:rsid w:val="00C63C5C"/>
    <w:rsid w:val="00C701C2"/>
    <w:rsid w:val="00C72EDE"/>
    <w:rsid w:val="00C81726"/>
    <w:rsid w:val="00C82606"/>
    <w:rsid w:val="00C90DC0"/>
    <w:rsid w:val="00CA01F2"/>
    <w:rsid w:val="00CA4436"/>
    <w:rsid w:val="00CA491B"/>
    <w:rsid w:val="00CA74D6"/>
    <w:rsid w:val="00CB21EB"/>
    <w:rsid w:val="00CC73BC"/>
    <w:rsid w:val="00CC7B69"/>
    <w:rsid w:val="00CD4C1D"/>
    <w:rsid w:val="00CE09CE"/>
    <w:rsid w:val="00CE3386"/>
    <w:rsid w:val="00CF0E84"/>
    <w:rsid w:val="00CF3DED"/>
    <w:rsid w:val="00CF4389"/>
    <w:rsid w:val="00D01D2A"/>
    <w:rsid w:val="00D10500"/>
    <w:rsid w:val="00D1169C"/>
    <w:rsid w:val="00D140F5"/>
    <w:rsid w:val="00D20316"/>
    <w:rsid w:val="00D2146C"/>
    <w:rsid w:val="00D22260"/>
    <w:rsid w:val="00D24D72"/>
    <w:rsid w:val="00D26207"/>
    <w:rsid w:val="00D3289F"/>
    <w:rsid w:val="00D32FF8"/>
    <w:rsid w:val="00D43501"/>
    <w:rsid w:val="00D5696F"/>
    <w:rsid w:val="00D578D5"/>
    <w:rsid w:val="00D86B37"/>
    <w:rsid w:val="00D918A7"/>
    <w:rsid w:val="00D929CC"/>
    <w:rsid w:val="00DA22AD"/>
    <w:rsid w:val="00DA6460"/>
    <w:rsid w:val="00DA6630"/>
    <w:rsid w:val="00DB6DA1"/>
    <w:rsid w:val="00DC0932"/>
    <w:rsid w:val="00DC48A1"/>
    <w:rsid w:val="00DC6E9A"/>
    <w:rsid w:val="00DD4116"/>
    <w:rsid w:val="00DD688D"/>
    <w:rsid w:val="00DD78A8"/>
    <w:rsid w:val="00DE3AE1"/>
    <w:rsid w:val="00DE43DE"/>
    <w:rsid w:val="00DE7030"/>
    <w:rsid w:val="00DF267D"/>
    <w:rsid w:val="00E02C9C"/>
    <w:rsid w:val="00E03A70"/>
    <w:rsid w:val="00E05391"/>
    <w:rsid w:val="00E3022C"/>
    <w:rsid w:val="00E306AA"/>
    <w:rsid w:val="00E31236"/>
    <w:rsid w:val="00E351CE"/>
    <w:rsid w:val="00E449D3"/>
    <w:rsid w:val="00E65155"/>
    <w:rsid w:val="00E65422"/>
    <w:rsid w:val="00E65EA8"/>
    <w:rsid w:val="00E83F1B"/>
    <w:rsid w:val="00E844D1"/>
    <w:rsid w:val="00E8525B"/>
    <w:rsid w:val="00E85B63"/>
    <w:rsid w:val="00E96FE6"/>
    <w:rsid w:val="00EA086B"/>
    <w:rsid w:val="00EA7EA6"/>
    <w:rsid w:val="00EB424E"/>
    <w:rsid w:val="00ED44C2"/>
    <w:rsid w:val="00EE2717"/>
    <w:rsid w:val="00EF49F0"/>
    <w:rsid w:val="00F02EC2"/>
    <w:rsid w:val="00F06412"/>
    <w:rsid w:val="00F13D2C"/>
    <w:rsid w:val="00F21C02"/>
    <w:rsid w:val="00F35DF4"/>
    <w:rsid w:val="00F417EE"/>
    <w:rsid w:val="00F45B49"/>
    <w:rsid w:val="00F6134E"/>
    <w:rsid w:val="00F64486"/>
    <w:rsid w:val="00F659EC"/>
    <w:rsid w:val="00F6657D"/>
    <w:rsid w:val="00F66628"/>
    <w:rsid w:val="00F67621"/>
    <w:rsid w:val="00F70A24"/>
    <w:rsid w:val="00F721AC"/>
    <w:rsid w:val="00F73755"/>
    <w:rsid w:val="00F81609"/>
    <w:rsid w:val="00F825F1"/>
    <w:rsid w:val="00FA0019"/>
    <w:rsid w:val="00FC0572"/>
    <w:rsid w:val="00FC4EAB"/>
    <w:rsid w:val="00FC5FF8"/>
    <w:rsid w:val="00FE0FB6"/>
    <w:rsid w:val="00FE2193"/>
    <w:rsid w:val="00FE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5C3AD"/>
  <w15:docId w15:val="{FAB33EBB-2578-471E-88F0-E58F3A87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FF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1169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1460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4602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46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4602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4602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46020"/>
    <w:rPr>
      <w:sz w:val="24"/>
      <w:szCs w:val="24"/>
    </w:rPr>
  </w:style>
  <w:style w:type="paragraph" w:styleId="Akapitzlist">
    <w:name w:val="List Paragraph"/>
    <w:aliases w:val="Styl moj,Akapit z listą11,podpunkt ankietyy,BulletList 1,Bulletlist1,Colorful List - Accent 11,Bullets Points,Bullet1,Section 5,Bullet List,Bullet 1,Lijstalinenomala,Table Legend,aotm_załączniki,List Paragraph1,BulletPoints,5 - W tabeli"/>
    <w:basedOn w:val="Normalny"/>
    <w:link w:val="AkapitzlistZnak"/>
    <w:uiPriority w:val="34"/>
    <w:qFormat/>
    <w:rsid w:val="004C2EC4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A433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33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33C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433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433CE"/>
    <w:rPr>
      <w:b/>
      <w:bCs/>
    </w:rPr>
  </w:style>
  <w:style w:type="paragraph" w:styleId="Poprawka">
    <w:name w:val="Revision"/>
    <w:hidden/>
    <w:uiPriority w:val="99"/>
    <w:semiHidden/>
    <w:rsid w:val="001F018B"/>
    <w:rPr>
      <w:sz w:val="24"/>
      <w:szCs w:val="24"/>
    </w:rPr>
  </w:style>
  <w:style w:type="character" w:customStyle="1" w:styleId="AkapitzlistZnak">
    <w:name w:val="Akapit z listą Znak"/>
    <w:aliases w:val="Styl moj Znak,Akapit z listą11 Znak,podpunkt ankietyy Znak,BulletList 1 Znak,Bulletlist1 Znak,Colorful List - Accent 11 Znak,Bullets Points Znak,Bullet1 Znak,Section 5 Znak,Bullet List Znak,Bullet 1 Znak,Lijstalinenomala Znak"/>
    <w:link w:val="Akapitzlist"/>
    <w:uiPriority w:val="34"/>
    <w:qFormat/>
    <w:locked/>
    <w:rsid w:val="000038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57AF6-326D-4E01-9FB0-4DCDDED35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2653</Words>
  <Characters>15918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Królak-Buzakowska Joanna</dc:creator>
  <cp:lastModifiedBy>Anna Rychter</cp:lastModifiedBy>
  <cp:revision>2</cp:revision>
  <cp:lastPrinted>2017-07-25T07:04:00Z</cp:lastPrinted>
  <dcterms:created xsi:type="dcterms:W3CDTF">2022-12-07T13:21:00Z</dcterms:created>
  <dcterms:modified xsi:type="dcterms:W3CDTF">2022-12-07T13:21:00Z</dcterms:modified>
</cp:coreProperties>
</file>